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6108418"/>
        <w:docPartObj>
          <w:docPartGallery w:val="Cover Pages"/>
          <w:docPartUnique/>
        </w:docPartObj>
      </w:sdtPr>
      <w:sdtEndPr>
        <w:rPr>
          <w:rFonts w:eastAsia="Times New Roman" w:cs="Times New Roman"/>
          <w:b/>
          <w:bCs/>
          <w:kern w:val="32"/>
          <w:sz w:val="32"/>
          <w:szCs w:val="32"/>
          <w:lang w:val="x-none"/>
        </w:rPr>
      </w:sdtEndPr>
      <w:sdtContent>
        <w:p w:rsidR="00711DF0" w:rsidRDefault="00BF328F" w:rsidP="00711DF0">
          <w:pPr>
            <w:ind w:left="-1418" w:right="-1440"/>
            <w:sectPr w:rsidR="00711DF0" w:rsidSect="00126779">
              <w:headerReference w:type="default" r:id="rId9"/>
              <w:footerReference w:type="default" r:id="rId10"/>
              <w:pgSz w:w="11906" w:h="16838"/>
              <w:pgMar w:top="0" w:right="1440" w:bottom="0" w:left="1440" w:header="708" w:footer="708" w:gutter="0"/>
              <w:pgNumType w:start="0"/>
              <w:cols w:space="708"/>
              <w:titlePg/>
              <w:docGrid w:linePitch="360"/>
            </w:sectPr>
          </w:pPr>
          <w:r>
            <w:rPr>
              <w:noProof/>
              <w:lang w:eastAsia="en-GB"/>
            </w:rPr>
            <mc:AlternateContent>
              <mc:Choice Requires="wps">
                <w:drawing>
                  <wp:anchor distT="0" distB="0" distL="114300" distR="114300" simplePos="0" relativeHeight="251714560" behindDoc="0" locked="0" layoutInCell="1" allowOverlap="1" wp14:anchorId="1D542CAB" wp14:editId="41425F08">
                    <wp:simplePos x="0" y="0"/>
                    <wp:positionH relativeFrom="column">
                      <wp:posOffset>-613186</wp:posOffset>
                    </wp:positionH>
                    <wp:positionV relativeFrom="paragraph">
                      <wp:posOffset>9412941</wp:posOffset>
                    </wp:positionV>
                    <wp:extent cx="1979407" cy="301214"/>
                    <wp:effectExtent l="0" t="0" r="1905" b="3810"/>
                    <wp:wrapNone/>
                    <wp:docPr id="240" name="Rectangle 240"/>
                    <wp:cNvGraphicFramePr/>
                    <a:graphic xmlns:a="http://schemas.openxmlformats.org/drawingml/2006/main">
                      <a:graphicData uri="http://schemas.microsoft.com/office/word/2010/wordprocessingShape">
                        <wps:wsp>
                          <wps:cNvSpPr/>
                          <wps:spPr>
                            <a:xfrm>
                              <a:off x="0" y="0"/>
                              <a:ext cx="1979407" cy="30121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183F" w:rsidRPr="00BF328F" w:rsidRDefault="0086183F" w:rsidP="00BF328F">
                                <w:pPr>
                                  <w:jc w:val="center"/>
                                  <w:rPr>
                                    <w:rFonts w:ascii="Arial" w:hAnsi="Arial"/>
                                    <w:b/>
                                    <w:color w:val="FFFFFF" w:themeColor="background1"/>
                                    <w:sz w:val="24"/>
                                  </w:rPr>
                                </w:pPr>
                                <w:r w:rsidRPr="00BF328F">
                                  <w:rPr>
                                    <w:rFonts w:ascii="Arial" w:hAnsi="Arial"/>
                                    <w:b/>
                                    <w:color w:val="FFFFFF" w:themeColor="background1"/>
                                    <w:sz w:val="24"/>
                                  </w:rPr>
                                  <w:t>Published October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left:0;text-align:left;margin-left:-48.3pt;margin-top:741.2pt;width:155.85pt;height:23.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" fillcolor="#95b3d7 [1940]" stroked="f" strokeweight="2pt">
                    <v:textbox>
                      <w:txbxContent>
                        <w:p w:rsidR="0086183F" w:rsidRPr="00BF328F" w:rsidRDefault="0086183F" w:rsidP="00BF328F">
                          <w:pPr>
                            <w:jc w:val="center"/>
                            <w:rPr>
                              <w:rFonts w:ascii="Arial" w:hAnsi="Arial"/>
                              <w:b/>
                              <w:color w:val="FFFFFF" w:themeColor="background1"/>
                              <w:sz w:val="24"/>
                            </w:rPr>
                          </w:pPr>
                          <w:r w:rsidRPr="00BF328F">
                            <w:rPr>
                              <w:rFonts w:ascii="Arial" w:hAnsi="Arial"/>
                              <w:b/>
                              <w:color w:val="FFFFFF" w:themeColor="background1"/>
                              <w:sz w:val="24"/>
                            </w:rPr>
                            <w:t>Published October 2018</w:t>
                          </w:r>
                        </w:p>
                      </w:txbxContent>
                    </v:textbox>
                  </v:rect>
                </w:pict>
              </mc:Fallback>
            </mc:AlternateContent>
          </w:r>
          <w:r w:rsidR="00311408">
            <w:rPr>
              <w:noProof/>
              <w:lang w:eastAsia="en-GB"/>
            </w:rPr>
            <mc:AlternateContent>
              <mc:Choice Requires="wps">
                <w:drawing>
                  <wp:anchor distT="0" distB="0" distL="114300" distR="114300" simplePos="0" relativeHeight="251713536" behindDoc="0" locked="0" layoutInCell="1" allowOverlap="1" wp14:anchorId="2A44979D" wp14:editId="2479367B">
                    <wp:simplePos x="0" y="0"/>
                    <wp:positionH relativeFrom="column">
                      <wp:posOffset>-699248</wp:posOffset>
                    </wp:positionH>
                    <wp:positionV relativeFrom="paragraph">
                      <wp:posOffset>3550024</wp:posOffset>
                    </wp:positionV>
                    <wp:extent cx="3506993" cy="408790"/>
                    <wp:effectExtent l="0" t="0" r="0" b="0"/>
                    <wp:wrapNone/>
                    <wp:docPr id="19" name="Rectangle 19"/>
                    <wp:cNvGraphicFramePr/>
                    <a:graphic xmlns:a="http://schemas.openxmlformats.org/drawingml/2006/main">
                      <a:graphicData uri="http://schemas.microsoft.com/office/word/2010/wordprocessingShape">
                        <wps:wsp>
                          <wps:cNvSpPr/>
                          <wps:spPr>
                            <a:xfrm>
                              <a:off x="0" y="0"/>
                              <a:ext cx="3506993" cy="408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183F" w:rsidRPr="00BF328F" w:rsidRDefault="0086183F" w:rsidP="00BF328F">
                                <w:pPr>
                                  <w:rPr>
                                    <w:rFonts w:ascii="Arial" w:hAnsi="Arial"/>
                                    <w:b/>
                                    <w:color w:val="002060"/>
                                    <w:sz w:val="32"/>
                                  </w:rPr>
                                </w:pPr>
                                <w:r>
                                  <w:rPr>
                                    <w:rFonts w:ascii="Arial" w:hAnsi="Arial"/>
                                    <w:b/>
                                    <w:color w:val="002060"/>
                                    <w:sz w:val="32"/>
                                  </w:rPr>
                                  <w:t>1 April 2017 to 31 March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7" style="position:absolute;left:0;text-align:left;margin-left:-55.05pt;margin-top:279.55pt;width:276.15pt;height:32.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" fillcolor="white [3212]" stroked="f" strokeweight="2pt">
                    <v:textbox>
                      <w:txbxContent>
                        <w:p w:rsidR="0086183F" w:rsidRPr="00BF328F" w:rsidRDefault="0086183F" w:rsidP="00BF328F">
                          <w:pPr>
                            <w:rPr>
                              <w:rFonts w:ascii="Arial" w:hAnsi="Arial"/>
                              <w:b/>
                              <w:color w:val="002060"/>
                              <w:sz w:val="32"/>
                            </w:rPr>
                          </w:pPr>
                          <w:r>
                            <w:rPr>
                              <w:rFonts w:ascii="Arial" w:hAnsi="Arial"/>
                              <w:b/>
                              <w:color w:val="002060"/>
                              <w:sz w:val="32"/>
                            </w:rPr>
                            <w:t>1 April 2017 to 31 March 2018</w:t>
                          </w:r>
                        </w:p>
                      </w:txbxContent>
                    </v:textbox>
                  </v:rect>
                </w:pict>
              </mc:Fallback>
            </mc:AlternateContent>
          </w:r>
          <w:r w:rsidR="00711DF0">
            <w:rPr>
              <w:noProof/>
              <w:lang w:eastAsia="en-GB"/>
            </w:rPr>
            <w:drawing>
              <wp:inline distT="0" distB="0" distL="0" distR="0" wp14:anchorId="592BDB5B" wp14:editId="028B27A0">
                <wp:extent cx="7594899" cy="10721325"/>
                <wp:effectExtent l="0" t="0" r="635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Front Cover.jpg"/>
                        <pic:cNvPicPr/>
                      </pic:nvPicPr>
                      <pic:blipFill>
                        <a:blip r:embed="rId11">
                          <a:extLst>
                            <a:ext uri="{28A0092B-C50C-407E-A947-70E740481C1C}">
                              <a14:useLocalDpi xmlns:a14="http://schemas.microsoft.com/office/drawing/2010/main" val="0"/>
                            </a:ext>
                          </a:extLst>
                        </a:blip>
                        <a:stretch>
                          <a:fillRect/>
                        </a:stretch>
                      </pic:blipFill>
                      <pic:spPr>
                        <a:xfrm>
                          <a:off x="0" y="0"/>
                          <a:ext cx="7603820" cy="10733919"/>
                        </a:xfrm>
                        <a:prstGeom prst="rect">
                          <a:avLst/>
                        </a:prstGeom>
                      </pic:spPr>
                    </pic:pic>
                  </a:graphicData>
                </a:graphic>
              </wp:inline>
            </w:drawing>
          </w:r>
        </w:p>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p w:rsidR="00711DF0" w:rsidRDefault="00711DF0" w:rsidP="00711DF0"/>
        <w:tbl>
          <w:tblPr>
            <w:tblW w:w="0" w:type="auto"/>
            <w:tblBorders>
              <w:top w:val="nil"/>
              <w:left w:val="nil"/>
              <w:bottom w:val="nil"/>
              <w:right w:val="nil"/>
            </w:tblBorders>
            <w:tblLayout w:type="fixed"/>
            <w:tblLook w:val="0000" w:firstRow="0" w:lastRow="0" w:firstColumn="0" w:lastColumn="0" w:noHBand="0" w:noVBand="0"/>
          </w:tblPr>
          <w:tblGrid>
            <w:gridCol w:w="5920"/>
          </w:tblGrid>
          <w:tr w:rsidR="00711DF0" w:rsidRPr="00D03273" w:rsidTr="00126779">
            <w:trPr>
              <w:trHeight w:val="140"/>
            </w:trPr>
            <w:tc>
              <w:tcPr>
                <w:tcW w:w="5920" w:type="dxa"/>
              </w:tcPr>
              <w:p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Planning Policy </w:t>
                </w:r>
              </w:p>
            </w:tc>
          </w:tr>
          <w:tr w:rsidR="00711DF0" w:rsidRPr="00D03273" w:rsidTr="00126779">
            <w:trPr>
              <w:trHeight w:val="140"/>
            </w:trPr>
            <w:tc>
              <w:tcPr>
                <w:tcW w:w="5920" w:type="dxa"/>
              </w:tcPr>
              <w:p w:rsidR="00711DF0" w:rsidRDefault="00711DF0" w:rsidP="00126779">
                <w:pPr>
                  <w:autoSpaceDE w:val="0"/>
                  <w:autoSpaceDN w:val="0"/>
                  <w:adjustRightInd w:val="0"/>
                  <w:rPr>
                    <w:rFonts w:cs="Calibri"/>
                    <w:color w:val="000000"/>
                    <w:szCs w:val="22"/>
                  </w:rPr>
                </w:pPr>
                <w:r>
                  <w:rPr>
                    <w:rFonts w:cs="Calibri"/>
                    <w:color w:val="000000"/>
                    <w:szCs w:val="22"/>
                  </w:rPr>
                  <w:t>Planning, Sustainable Development and Regulatory Services</w:t>
                </w:r>
              </w:p>
              <w:p w:rsidR="00711DF0" w:rsidRPr="00D03273" w:rsidRDefault="00711DF0" w:rsidP="00126779">
                <w:pPr>
                  <w:autoSpaceDE w:val="0"/>
                  <w:autoSpaceDN w:val="0"/>
                  <w:adjustRightInd w:val="0"/>
                  <w:rPr>
                    <w:rFonts w:cs="Calibri"/>
                    <w:color w:val="000000"/>
                    <w:szCs w:val="22"/>
                  </w:rPr>
                </w:pPr>
              </w:p>
            </w:tc>
          </w:tr>
          <w:tr w:rsidR="00711DF0" w:rsidRPr="00D03273" w:rsidTr="00126779">
            <w:trPr>
              <w:trHeight w:val="140"/>
            </w:trPr>
            <w:tc>
              <w:tcPr>
                <w:tcW w:w="5920" w:type="dxa"/>
              </w:tcPr>
              <w:p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Oxford City Council </w:t>
                </w:r>
              </w:p>
            </w:tc>
          </w:tr>
          <w:tr w:rsidR="00711DF0" w:rsidRPr="00D03273" w:rsidTr="00126779">
            <w:trPr>
              <w:trHeight w:val="140"/>
            </w:trPr>
            <w:tc>
              <w:tcPr>
                <w:tcW w:w="5920" w:type="dxa"/>
              </w:tcPr>
              <w:p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St </w:t>
                </w:r>
                <w:proofErr w:type="spellStart"/>
                <w:r w:rsidRPr="00D03273">
                  <w:rPr>
                    <w:rFonts w:cs="Calibri"/>
                    <w:color w:val="000000"/>
                    <w:szCs w:val="22"/>
                  </w:rPr>
                  <w:t>Aldate’s</w:t>
                </w:r>
                <w:proofErr w:type="spellEnd"/>
                <w:r w:rsidRPr="00D03273">
                  <w:rPr>
                    <w:rFonts w:cs="Calibri"/>
                    <w:color w:val="000000"/>
                    <w:szCs w:val="22"/>
                  </w:rPr>
                  <w:t xml:space="preserve"> Chambers </w:t>
                </w:r>
              </w:p>
            </w:tc>
          </w:tr>
          <w:tr w:rsidR="00711DF0" w:rsidRPr="00D03273" w:rsidTr="00126779">
            <w:trPr>
              <w:trHeight w:val="140"/>
            </w:trPr>
            <w:tc>
              <w:tcPr>
                <w:tcW w:w="5920" w:type="dxa"/>
              </w:tcPr>
              <w:p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109-113 St </w:t>
                </w:r>
                <w:proofErr w:type="spellStart"/>
                <w:r w:rsidRPr="00D03273">
                  <w:rPr>
                    <w:rFonts w:cs="Calibri"/>
                    <w:color w:val="000000"/>
                    <w:szCs w:val="22"/>
                  </w:rPr>
                  <w:t>Aldate’s</w:t>
                </w:r>
                <w:proofErr w:type="spellEnd"/>
                <w:r w:rsidRPr="00D03273">
                  <w:rPr>
                    <w:rFonts w:cs="Calibri"/>
                    <w:color w:val="000000"/>
                    <w:szCs w:val="22"/>
                  </w:rPr>
                  <w:t xml:space="preserve"> </w:t>
                </w:r>
              </w:p>
            </w:tc>
          </w:tr>
          <w:tr w:rsidR="00711DF0" w:rsidRPr="00D03273" w:rsidTr="00126779">
            <w:trPr>
              <w:trHeight w:val="140"/>
            </w:trPr>
            <w:tc>
              <w:tcPr>
                <w:tcW w:w="5920" w:type="dxa"/>
              </w:tcPr>
              <w:p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OXFORD </w:t>
                </w:r>
              </w:p>
            </w:tc>
          </w:tr>
          <w:tr w:rsidR="00711DF0" w:rsidRPr="00D03273" w:rsidTr="00126779">
            <w:trPr>
              <w:trHeight w:val="140"/>
            </w:trPr>
            <w:tc>
              <w:tcPr>
                <w:tcW w:w="5920" w:type="dxa"/>
              </w:tcPr>
              <w:p w:rsidR="00711DF0" w:rsidRPr="00D03273" w:rsidRDefault="00711DF0" w:rsidP="00126779">
                <w:pPr>
                  <w:autoSpaceDE w:val="0"/>
                  <w:autoSpaceDN w:val="0"/>
                  <w:adjustRightInd w:val="0"/>
                  <w:rPr>
                    <w:rFonts w:asciiTheme="minorHAnsi" w:hAnsiTheme="minorHAnsi" w:cstheme="minorHAnsi"/>
                    <w:color w:val="000000"/>
                    <w:szCs w:val="22"/>
                  </w:rPr>
                </w:pPr>
                <w:r w:rsidRPr="00D03273">
                  <w:rPr>
                    <w:rFonts w:asciiTheme="minorHAnsi" w:hAnsiTheme="minorHAnsi" w:cstheme="minorHAnsi"/>
                    <w:color w:val="000000"/>
                    <w:szCs w:val="22"/>
                  </w:rPr>
                  <w:t>OX1 1DS</w:t>
                </w:r>
              </w:p>
              <w:p w:rsidR="00711DF0" w:rsidRPr="00D03273" w:rsidRDefault="00711DF0" w:rsidP="00126779">
                <w:pPr>
                  <w:autoSpaceDE w:val="0"/>
                  <w:autoSpaceDN w:val="0"/>
                  <w:adjustRightInd w:val="0"/>
                  <w:rPr>
                    <w:rFonts w:asciiTheme="minorHAnsi" w:hAnsiTheme="minorHAnsi" w:cstheme="minorHAnsi"/>
                    <w:color w:val="000000"/>
                    <w:szCs w:val="22"/>
                  </w:rPr>
                </w:pPr>
              </w:p>
            </w:tc>
          </w:tr>
        </w:tbl>
        <w:p w:rsidR="00711DF0" w:rsidRPr="00D03273" w:rsidRDefault="00711DF0" w:rsidP="00711DF0">
          <w:pPr>
            <w:rPr>
              <w:rFonts w:asciiTheme="minorHAnsi" w:hAnsiTheme="minorHAnsi" w:cstheme="minorHAnsi"/>
              <w:szCs w:val="22"/>
            </w:rPr>
          </w:pPr>
          <w:r>
            <w:rPr>
              <w:rFonts w:asciiTheme="minorHAnsi" w:hAnsiTheme="minorHAnsi" w:cstheme="minorHAnsi"/>
              <w:szCs w:val="22"/>
            </w:rPr>
            <w:t xml:space="preserve">Tel: 01865 </w:t>
          </w:r>
          <w:r w:rsidRPr="00D03273">
            <w:rPr>
              <w:rFonts w:asciiTheme="minorHAnsi" w:hAnsiTheme="minorHAnsi" w:cstheme="minorHAnsi"/>
              <w:szCs w:val="22"/>
            </w:rPr>
            <w:t>252847</w:t>
          </w:r>
        </w:p>
        <w:p w:rsidR="00711DF0" w:rsidRPr="00D03273" w:rsidRDefault="00711DF0" w:rsidP="00711DF0">
          <w:pPr>
            <w:rPr>
              <w:rFonts w:asciiTheme="minorHAnsi" w:hAnsiTheme="minorHAnsi" w:cstheme="minorHAnsi"/>
              <w:szCs w:val="22"/>
            </w:rPr>
          </w:pPr>
          <w:r w:rsidRPr="00D03273">
            <w:rPr>
              <w:rFonts w:asciiTheme="minorHAnsi" w:hAnsiTheme="minorHAnsi" w:cstheme="minorHAnsi"/>
              <w:szCs w:val="22"/>
            </w:rPr>
            <w:t>Email: planningpolicy@oxford.gov.uk</w:t>
          </w:r>
        </w:p>
        <w:p w:rsidR="00711DF0" w:rsidRPr="00D03273" w:rsidRDefault="00711DF0" w:rsidP="00711DF0">
          <w:pPr>
            <w:rPr>
              <w:rFonts w:asciiTheme="minorHAnsi" w:hAnsiTheme="minorHAnsi" w:cstheme="minorHAnsi"/>
              <w:szCs w:val="22"/>
            </w:rPr>
          </w:pPr>
          <w:r w:rsidRPr="00D03273">
            <w:rPr>
              <w:rFonts w:asciiTheme="minorHAnsi" w:hAnsiTheme="minorHAnsi" w:cstheme="minorHAnsi"/>
              <w:szCs w:val="22"/>
            </w:rPr>
            <w:t>Website: www.oxford.gov.uk/planningpolicy</w:t>
          </w:r>
        </w:p>
        <w:p w:rsidR="00711DF0" w:rsidRDefault="00711DF0" w:rsidP="00711DF0">
          <w:pPr>
            <w:rPr>
              <w:rFonts w:asciiTheme="minorHAnsi" w:hAnsiTheme="minorHAnsi" w:cstheme="minorHAnsi"/>
              <w:szCs w:val="22"/>
            </w:rPr>
          </w:pPr>
        </w:p>
        <w:p w:rsidR="00711DF0" w:rsidRDefault="00711DF0" w:rsidP="00711DF0">
          <w:pPr>
            <w:rPr>
              <w:rFonts w:asciiTheme="minorHAnsi" w:hAnsiTheme="minorHAnsi" w:cstheme="minorHAnsi"/>
              <w:szCs w:val="22"/>
            </w:rPr>
          </w:pPr>
        </w:p>
        <w:p w:rsidR="00711DF0" w:rsidRPr="00AD7534" w:rsidRDefault="00711DF0" w:rsidP="00711DF0">
          <w:pPr>
            <w:rPr>
              <w:rFonts w:asciiTheme="minorHAnsi" w:hAnsiTheme="minorHAnsi" w:cstheme="minorHAnsi"/>
              <w:szCs w:val="22"/>
            </w:rPr>
          </w:pPr>
          <w:r w:rsidRPr="00BF328F">
            <w:rPr>
              <w:rFonts w:asciiTheme="minorHAnsi" w:hAnsiTheme="minorHAnsi" w:cstheme="minorHAnsi"/>
              <w:szCs w:val="22"/>
            </w:rPr>
            <w:t>Published October 2018</w:t>
          </w:r>
        </w:p>
        <w:p w:rsidR="00711DF0" w:rsidRPr="006C40DD" w:rsidRDefault="00711DF0" w:rsidP="00711DF0">
          <w:pPr>
            <w:rPr>
              <w:rFonts w:asciiTheme="minorHAnsi" w:hAnsiTheme="minorHAnsi" w:cstheme="minorHAnsi"/>
              <w:sz w:val="32"/>
              <w:szCs w:val="22"/>
            </w:rPr>
          </w:pPr>
          <w:r w:rsidRPr="006C40DD">
            <w:rPr>
              <w:rFonts w:asciiTheme="minorHAnsi" w:hAnsiTheme="minorHAnsi" w:cstheme="minorHAnsi"/>
              <w:b/>
              <w:sz w:val="32"/>
            </w:rPr>
            <w:lastRenderedPageBreak/>
            <w:t>Contents</w:t>
          </w:r>
        </w:p>
        <w:p w:rsidR="00711DF0" w:rsidRPr="00852438" w:rsidRDefault="00711DF0" w:rsidP="00711DF0">
          <w:pPr>
            <w:tabs>
              <w:tab w:val="left" w:pos="1200"/>
            </w:tabs>
            <w:rPr>
              <w:rFonts w:asciiTheme="minorHAnsi" w:hAnsiTheme="minorHAnsi" w:cstheme="minorHAnsi"/>
              <w:b/>
            </w:rPr>
          </w:pPr>
          <w:r w:rsidRPr="00852438">
            <w:rPr>
              <w:rFonts w:asciiTheme="minorHAnsi" w:hAnsiTheme="minorHAnsi" w:cstheme="minorHAnsi"/>
              <w:b/>
            </w:rPr>
            <w:tab/>
          </w:r>
        </w:p>
        <w:p w:rsidR="00B740FD" w:rsidRDefault="00B740FD" w:rsidP="001A40E8">
          <w:pPr>
            <w:pStyle w:val="TOC1"/>
          </w:pPr>
        </w:p>
        <w:p w:rsidR="00B740FD" w:rsidRDefault="00B740FD" w:rsidP="001A40E8">
          <w:pPr>
            <w:pStyle w:val="TOC1"/>
          </w:pPr>
        </w:p>
        <w:p w:rsidR="000D7D6E" w:rsidRDefault="001A40E8">
          <w:pPr>
            <w:pStyle w:val="TOC1"/>
            <w:rPr>
              <w:rFonts w:eastAsiaTheme="minorEastAsia" w:cstheme="minorBidi"/>
              <w:b w:val="0"/>
              <w:bCs w:val="0"/>
              <w:sz w:val="22"/>
              <w:szCs w:val="22"/>
              <w:lang w:eastAsia="en-GB"/>
            </w:rPr>
          </w:pPr>
          <w:r>
            <w:rPr>
              <w:szCs w:val="22"/>
            </w:rPr>
            <w:fldChar w:fldCharType="begin"/>
          </w:r>
          <w:r>
            <w:rPr>
              <w:szCs w:val="22"/>
            </w:rPr>
            <w:instrText xml:space="preserve"> TOC \o "1-3" \h \z \u </w:instrText>
          </w:r>
          <w:r>
            <w:rPr>
              <w:szCs w:val="22"/>
            </w:rPr>
            <w:fldChar w:fldCharType="separate"/>
          </w:r>
          <w:hyperlink w:anchor="_Toc529178331" w:history="1">
            <w:r w:rsidR="000D7D6E" w:rsidRPr="00216E23">
              <w:rPr>
                <w:rStyle w:val="Hyperlink"/>
              </w:rPr>
              <w:t>Introduction</w:t>
            </w:r>
            <w:r w:rsidR="000D7D6E">
              <w:rPr>
                <w:webHidden/>
              </w:rPr>
              <w:tab/>
            </w:r>
            <w:r w:rsidR="000D7D6E">
              <w:rPr>
                <w:webHidden/>
              </w:rPr>
              <w:fldChar w:fldCharType="begin"/>
            </w:r>
            <w:r w:rsidR="000D7D6E">
              <w:rPr>
                <w:webHidden/>
              </w:rPr>
              <w:instrText xml:space="preserve"> PAGEREF _Toc529178331 \h </w:instrText>
            </w:r>
            <w:r w:rsidR="000D7D6E">
              <w:rPr>
                <w:webHidden/>
              </w:rPr>
            </w:r>
            <w:r w:rsidR="000D7D6E">
              <w:rPr>
                <w:webHidden/>
              </w:rPr>
              <w:fldChar w:fldCharType="separate"/>
            </w:r>
            <w:r w:rsidR="000D7D6E">
              <w:rPr>
                <w:webHidden/>
              </w:rPr>
              <w:t>4</w:t>
            </w:r>
            <w:r w:rsidR="000D7D6E">
              <w:rPr>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32" w:history="1">
            <w:r w:rsidR="000D7D6E" w:rsidRPr="00216E23">
              <w:rPr>
                <w:rStyle w:val="Hyperlink"/>
                <w:noProof/>
              </w:rPr>
              <w:t>Building a world-class city for everyone</w:t>
            </w:r>
            <w:r w:rsidR="000D7D6E">
              <w:rPr>
                <w:noProof/>
                <w:webHidden/>
              </w:rPr>
              <w:tab/>
            </w:r>
            <w:r w:rsidR="000D7D6E">
              <w:rPr>
                <w:noProof/>
                <w:webHidden/>
              </w:rPr>
              <w:fldChar w:fldCharType="begin"/>
            </w:r>
            <w:r w:rsidR="000D7D6E">
              <w:rPr>
                <w:noProof/>
                <w:webHidden/>
              </w:rPr>
              <w:instrText xml:space="preserve"> PAGEREF _Toc529178332 \h </w:instrText>
            </w:r>
            <w:r w:rsidR="000D7D6E">
              <w:rPr>
                <w:noProof/>
                <w:webHidden/>
              </w:rPr>
            </w:r>
            <w:r w:rsidR="000D7D6E">
              <w:rPr>
                <w:noProof/>
                <w:webHidden/>
              </w:rPr>
              <w:fldChar w:fldCharType="separate"/>
            </w:r>
            <w:r w:rsidR="000D7D6E">
              <w:rPr>
                <w:noProof/>
                <w:webHidden/>
              </w:rPr>
              <w:t>4</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33" w:history="1">
            <w:r w:rsidR="000D7D6E" w:rsidRPr="00216E23">
              <w:rPr>
                <w:rStyle w:val="Hyperlink"/>
                <w:noProof/>
              </w:rPr>
              <w:t>How performance is assessed</w:t>
            </w:r>
            <w:r w:rsidR="000D7D6E">
              <w:rPr>
                <w:noProof/>
                <w:webHidden/>
              </w:rPr>
              <w:tab/>
            </w:r>
            <w:r w:rsidR="000D7D6E">
              <w:rPr>
                <w:noProof/>
                <w:webHidden/>
              </w:rPr>
              <w:fldChar w:fldCharType="begin"/>
            </w:r>
            <w:r w:rsidR="000D7D6E">
              <w:rPr>
                <w:noProof/>
                <w:webHidden/>
              </w:rPr>
              <w:instrText xml:space="preserve"> PAGEREF _Toc529178333 \h </w:instrText>
            </w:r>
            <w:r w:rsidR="000D7D6E">
              <w:rPr>
                <w:noProof/>
                <w:webHidden/>
              </w:rPr>
            </w:r>
            <w:r w:rsidR="000D7D6E">
              <w:rPr>
                <w:noProof/>
                <w:webHidden/>
              </w:rPr>
              <w:fldChar w:fldCharType="separate"/>
            </w:r>
            <w:r w:rsidR="000D7D6E">
              <w:rPr>
                <w:noProof/>
                <w:webHidden/>
              </w:rPr>
              <w:t>4</w:t>
            </w:r>
            <w:r w:rsidR="000D7D6E">
              <w:rPr>
                <w:noProof/>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34" w:history="1">
            <w:r w:rsidR="000D7D6E" w:rsidRPr="00216E23">
              <w:rPr>
                <w:rStyle w:val="Hyperlink"/>
              </w:rPr>
              <w:t>Summary of Performance 2017/18</w:t>
            </w:r>
            <w:r w:rsidR="000D7D6E">
              <w:rPr>
                <w:webHidden/>
              </w:rPr>
              <w:tab/>
            </w:r>
            <w:r w:rsidR="000D7D6E">
              <w:rPr>
                <w:webHidden/>
              </w:rPr>
              <w:fldChar w:fldCharType="begin"/>
            </w:r>
            <w:r w:rsidR="000D7D6E">
              <w:rPr>
                <w:webHidden/>
              </w:rPr>
              <w:instrText xml:space="preserve"> PAGEREF _Toc529178334 \h </w:instrText>
            </w:r>
            <w:r w:rsidR="000D7D6E">
              <w:rPr>
                <w:webHidden/>
              </w:rPr>
            </w:r>
            <w:r w:rsidR="000D7D6E">
              <w:rPr>
                <w:webHidden/>
              </w:rPr>
              <w:fldChar w:fldCharType="separate"/>
            </w:r>
            <w:r w:rsidR="000D7D6E">
              <w:rPr>
                <w:webHidden/>
              </w:rPr>
              <w:t>5</w:t>
            </w:r>
            <w:r w:rsidR="000D7D6E">
              <w:rPr>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35" w:history="1">
            <w:r w:rsidR="000D7D6E" w:rsidRPr="00216E23">
              <w:rPr>
                <w:rStyle w:val="Hyperlink"/>
              </w:rPr>
              <w:t>A Vibrant and Sustainable Economy</w:t>
            </w:r>
            <w:r w:rsidR="000D7D6E">
              <w:rPr>
                <w:webHidden/>
              </w:rPr>
              <w:tab/>
            </w:r>
            <w:r w:rsidR="000D7D6E">
              <w:rPr>
                <w:webHidden/>
              </w:rPr>
              <w:fldChar w:fldCharType="begin"/>
            </w:r>
            <w:r w:rsidR="000D7D6E">
              <w:rPr>
                <w:webHidden/>
              </w:rPr>
              <w:instrText xml:space="preserve"> PAGEREF _Toc529178335 \h </w:instrText>
            </w:r>
            <w:r w:rsidR="000D7D6E">
              <w:rPr>
                <w:webHidden/>
              </w:rPr>
            </w:r>
            <w:r w:rsidR="000D7D6E">
              <w:rPr>
                <w:webHidden/>
              </w:rPr>
              <w:fldChar w:fldCharType="separate"/>
            </w:r>
            <w:r w:rsidR="000D7D6E">
              <w:rPr>
                <w:webHidden/>
              </w:rPr>
              <w:t>10</w:t>
            </w:r>
            <w:r w:rsidR="000D7D6E">
              <w:rPr>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36" w:history="1">
            <w:r w:rsidR="000D7D6E" w:rsidRPr="00216E23">
              <w:rPr>
                <w:rStyle w:val="Hyperlink"/>
                <w:b/>
                <w:noProof/>
                <w:lang w:eastAsia="en-GB"/>
              </w:rPr>
              <w:t>Indicator 1: EMPLOYMENT LAND SUPPLY</w:t>
            </w:r>
            <w:r w:rsidR="000D7D6E">
              <w:rPr>
                <w:noProof/>
                <w:webHidden/>
              </w:rPr>
              <w:tab/>
            </w:r>
            <w:r w:rsidR="000D7D6E">
              <w:rPr>
                <w:noProof/>
                <w:webHidden/>
              </w:rPr>
              <w:fldChar w:fldCharType="begin"/>
            </w:r>
            <w:r w:rsidR="000D7D6E">
              <w:rPr>
                <w:noProof/>
                <w:webHidden/>
              </w:rPr>
              <w:instrText xml:space="preserve"> PAGEREF _Toc529178336 \h </w:instrText>
            </w:r>
            <w:r w:rsidR="000D7D6E">
              <w:rPr>
                <w:noProof/>
                <w:webHidden/>
              </w:rPr>
            </w:r>
            <w:r w:rsidR="000D7D6E">
              <w:rPr>
                <w:noProof/>
                <w:webHidden/>
              </w:rPr>
              <w:fldChar w:fldCharType="separate"/>
            </w:r>
            <w:r w:rsidR="000D7D6E">
              <w:rPr>
                <w:noProof/>
                <w:webHidden/>
              </w:rPr>
              <w:t>11</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37" w:history="1">
            <w:r w:rsidR="000D7D6E" w:rsidRPr="00216E23">
              <w:rPr>
                <w:rStyle w:val="Hyperlink"/>
                <w:b/>
                <w:noProof/>
                <w:lang w:eastAsia="en-GB"/>
              </w:rPr>
              <w:t>Indicator 2: PLANNING PERMISSIONS GRANTED FOR NEW B1 FLOORSPACE</w:t>
            </w:r>
            <w:r w:rsidR="000D7D6E">
              <w:rPr>
                <w:noProof/>
                <w:webHidden/>
              </w:rPr>
              <w:tab/>
            </w:r>
            <w:r w:rsidR="000D7D6E">
              <w:rPr>
                <w:noProof/>
                <w:webHidden/>
              </w:rPr>
              <w:fldChar w:fldCharType="begin"/>
            </w:r>
            <w:r w:rsidR="000D7D6E">
              <w:rPr>
                <w:noProof/>
                <w:webHidden/>
              </w:rPr>
              <w:instrText xml:space="preserve"> PAGEREF _Toc529178337 \h </w:instrText>
            </w:r>
            <w:r w:rsidR="000D7D6E">
              <w:rPr>
                <w:noProof/>
                <w:webHidden/>
              </w:rPr>
            </w:r>
            <w:r w:rsidR="000D7D6E">
              <w:rPr>
                <w:noProof/>
                <w:webHidden/>
              </w:rPr>
              <w:fldChar w:fldCharType="separate"/>
            </w:r>
            <w:r w:rsidR="000D7D6E">
              <w:rPr>
                <w:noProof/>
                <w:webHidden/>
              </w:rPr>
              <w:t>12</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38" w:history="1">
            <w:r w:rsidR="000D7D6E" w:rsidRPr="00216E23">
              <w:rPr>
                <w:rStyle w:val="Hyperlink"/>
                <w:b/>
                <w:noProof/>
                <w:lang w:eastAsia="en-GB"/>
              </w:rPr>
              <w:t>Indicator 3: PLANNING PERMISSIONS GRANTED FOR KEY EMPLOYMENT USES (hospital healthcare, medical research and university academic teaching and study)</w:t>
            </w:r>
            <w:r w:rsidR="000D7D6E">
              <w:rPr>
                <w:noProof/>
                <w:webHidden/>
              </w:rPr>
              <w:tab/>
            </w:r>
            <w:r w:rsidR="000D7D6E">
              <w:rPr>
                <w:noProof/>
                <w:webHidden/>
              </w:rPr>
              <w:fldChar w:fldCharType="begin"/>
            </w:r>
            <w:r w:rsidR="000D7D6E">
              <w:rPr>
                <w:noProof/>
                <w:webHidden/>
              </w:rPr>
              <w:instrText xml:space="preserve"> PAGEREF _Toc529178338 \h </w:instrText>
            </w:r>
            <w:r w:rsidR="000D7D6E">
              <w:rPr>
                <w:noProof/>
                <w:webHidden/>
              </w:rPr>
            </w:r>
            <w:r w:rsidR="000D7D6E">
              <w:rPr>
                <w:noProof/>
                <w:webHidden/>
              </w:rPr>
              <w:fldChar w:fldCharType="separate"/>
            </w:r>
            <w:r w:rsidR="000D7D6E">
              <w:rPr>
                <w:noProof/>
                <w:webHidden/>
              </w:rPr>
              <w:t>13</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39" w:history="1">
            <w:r w:rsidR="000D7D6E" w:rsidRPr="00216E23">
              <w:rPr>
                <w:rStyle w:val="Hyperlink"/>
                <w:b/>
                <w:noProof/>
                <w:lang w:eastAsia="en-GB"/>
              </w:rPr>
              <w:t>Indicator 4: LOCATION OF NEW A1 RETAIL DEVELOPMENT</w:t>
            </w:r>
            <w:r w:rsidR="000D7D6E">
              <w:rPr>
                <w:noProof/>
                <w:webHidden/>
              </w:rPr>
              <w:tab/>
            </w:r>
            <w:r w:rsidR="000D7D6E">
              <w:rPr>
                <w:noProof/>
                <w:webHidden/>
              </w:rPr>
              <w:fldChar w:fldCharType="begin"/>
            </w:r>
            <w:r w:rsidR="000D7D6E">
              <w:rPr>
                <w:noProof/>
                <w:webHidden/>
              </w:rPr>
              <w:instrText xml:space="preserve"> PAGEREF _Toc529178339 \h </w:instrText>
            </w:r>
            <w:r w:rsidR="000D7D6E">
              <w:rPr>
                <w:noProof/>
                <w:webHidden/>
              </w:rPr>
            </w:r>
            <w:r w:rsidR="000D7D6E">
              <w:rPr>
                <w:noProof/>
                <w:webHidden/>
              </w:rPr>
              <w:fldChar w:fldCharType="separate"/>
            </w:r>
            <w:r w:rsidR="000D7D6E">
              <w:rPr>
                <w:noProof/>
                <w:webHidden/>
              </w:rPr>
              <w:t>15</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0" w:history="1">
            <w:r w:rsidR="000D7D6E" w:rsidRPr="00216E23">
              <w:rPr>
                <w:rStyle w:val="Hyperlink"/>
                <w:b/>
                <w:noProof/>
                <w:lang w:eastAsia="en-GB"/>
              </w:rPr>
              <w:t>Indicator 5: DESIGNATED RETAIL FRONTAGES</w:t>
            </w:r>
            <w:r w:rsidR="000D7D6E">
              <w:rPr>
                <w:noProof/>
                <w:webHidden/>
              </w:rPr>
              <w:tab/>
            </w:r>
            <w:r w:rsidR="000D7D6E">
              <w:rPr>
                <w:noProof/>
                <w:webHidden/>
              </w:rPr>
              <w:fldChar w:fldCharType="begin"/>
            </w:r>
            <w:r w:rsidR="000D7D6E">
              <w:rPr>
                <w:noProof/>
                <w:webHidden/>
              </w:rPr>
              <w:instrText xml:space="preserve"> PAGEREF _Toc529178340 \h </w:instrText>
            </w:r>
            <w:r w:rsidR="000D7D6E">
              <w:rPr>
                <w:noProof/>
                <w:webHidden/>
              </w:rPr>
            </w:r>
            <w:r w:rsidR="000D7D6E">
              <w:rPr>
                <w:noProof/>
                <w:webHidden/>
              </w:rPr>
              <w:fldChar w:fldCharType="separate"/>
            </w:r>
            <w:r w:rsidR="000D7D6E">
              <w:rPr>
                <w:noProof/>
                <w:webHidden/>
              </w:rPr>
              <w:t>17</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1" w:history="1">
            <w:r w:rsidR="000D7D6E" w:rsidRPr="00216E23">
              <w:rPr>
                <w:rStyle w:val="Hyperlink"/>
                <w:b/>
                <w:noProof/>
                <w:lang w:eastAsia="en-GB"/>
              </w:rPr>
              <w:t>Indicator 6: SUPPLY OF SHORT STAY ACCOMMODATION</w:t>
            </w:r>
            <w:r w:rsidR="000D7D6E">
              <w:rPr>
                <w:noProof/>
                <w:webHidden/>
              </w:rPr>
              <w:tab/>
            </w:r>
            <w:r w:rsidR="000D7D6E">
              <w:rPr>
                <w:noProof/>
                <w:webHidden/>
              </w:rPr>
              <w:fldChar w:fldCharType="begin"/>
            </w:r>
            <w:r w:rsidR="000D7D6E">
              <w:rPr>
                <w:noProof/>
                <w:webHidden/>
              </w:rPr>
              <w:instrText xml:space="preserve"> PAGEREF _Toc529178341 \h </w:instrText>
            </w:r>
            <w:r w:rsidR="000D7D6E">
              <w:rPr>
                <w:noProof/>
                <w:webHidden/>
              </w:rPr>
            </w:r>
            <w:r w:rsidR="000D7D6E">
              <w:rPr>
                <w:noProof/>
                <w:webHidden/>
              </w:rPr>
              <w:fldChar w:fldCharType="separate"/>
            </w:r>
            <w:r w:rsidR="000D7D6E">
              <w:rPr>
                <w:noProof/>
                <w:webHidden/>
              </w:rPr>
              <w:t>19</w:t>
            </w:r>
            <w:r w:rsidR="000D7D6E">
              <w:rPr>
                <w:noProof/>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42" w:history="1">
            <w:r w:rsidR="000D7D6E" w:rsidRPr="00216E23">
              <w:rPr>
                <w:rStyle w:val="Hyperlink"/>
              </w:rPr>
              <w:t>Meeting Housing Needs</w:t>
            </w:r>
            <w:r w:rsidR="000D7D6E">
              <w:rPr>
                <w:webHidden/>
              </w:rPr>
              <w:tab/>
            </w:r>
            <w:r w:rsidR="000D7D6E">
              <w:rPr>
                <w:webHidden/>
              </w:rPr>
              <w:fldChar w:fldCharType="begin"/>
            </w:r>
            <w:r w:rsidR="000D7D6E">
              <w:rPr>
                <w:webHidden/>
              </w:rPr>
              <w:instrText xml:space="preserve"> PAGEREF _Toc529178342 \h </w:instrText>
            </w:r>
            <w:r w:rsidR="000D7D6E">
              <w:rPr>
                <w:webHidden/>
              </w:rPr>
            </w:r>
            <w:r w:rsidR="000D7D6E">
              <w:rPr>
                <w:webHidden/>
              </w:rPr>
              <w:fldChar w:fldCharType="separate"/>
            </w:r>
            <w:r w:rsidR="000D7D6E">
              <w:rPr>
                <w:webHidden/>
              </w:rPr>
              <w:t>20</w:t>
            </w:r>
            <w:r w:rsidR="000D7D6E">
              <w:rPr>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3" w:history="1">
            <w:r w:rsidR="000D7D6E" w:rsidRPr="00216E23">
              <w:rPr>
                <w:rStyle w:val="Hyperlink"/>
                <w:b/>
                <w:noProof/>
                <w:lang w:eastAsia="en-GB"/>
              </w:rPr>
              <w:t>Indicator 7: HOUSING TRAJECTORY</w:t>
            </w:r>
            <w:r w:rsidR="000D7D6E">
              <w:rPr>
                <w:noProof/>
                <w:webHidden/>
              </w:rPr>
              <w:tab/>
            </w:r>
            <w:r w:rsidR="000D7D6E">
              <w:rPr>
                <w:noProof/>
                <w:webHidden/>
              </w:rPr>
              <w:fldChar w:fldCharType="begin"/>
            </w:r>
            <w:r w:rsidR="000D7D6E">
              <w:rPr>
                <w:noProof/>
                <w:webHidden/>
              </w:rPr>
              <w:instrText xml:space="preserve"> PAGEREF _Toc529178343 \h </w:instrText>
            </w:r>
            <w:r w:rsidR="000D7D6E">
              <w:rPr>
                <w:noProof/>
                <w:webHidden/>
              </w:rPr>
            </w:r>
            <w:r w:rsidR="000D7D6E">
              <w:rPr>
                <w:noProof/>
                <w:webHidden/>
              </w:rPr>
              <w:fldChar w:fldCharType="separate"/>
            </w:r>
            <w:r w:rsidR="000D7D6E">
              <w:rPr>
                <w:noProof/>
                <w:webHidden/>
              </w:rPr>
              <w:t>21</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4" w:history="1">
            <w:r w:rsidR="000D7D6E" w:rsidRPr="00216E23">
              <w:rPr>
                <w:rStyle w:val="Hyperlink"/>
                <w:b/>
                <w:noProof/>
                <w:lang w:eastAsia="en-GB"/>
              </w:rPr>
              <w:t>Indicator 8: AFFORDABLE HOUSING COMPLETIONS (TENURE)</w:t>
            </w:r>
            <w:r w:rsidR="000D7D6E">
              <w:rPr>
                <w:noProof/>
                <w:webHidden/>
              </w:rPr>
              <w:tab/>
            </w:r>
            <w:r w:rsidR="000D7D6E">
              <w:rPr>
                <w:noProof/>
                <w:webHidden/>
              </w:rPr>
              <w:fldChar w:fldCharType="begin"/>
            </w:r>
            <w:r w:rsidR="000D7D6E">
              <w:rPr>
                <w:noProof/>
                <w:webHidden/>
              </w:rPr>
              <w:instrText xml:space="preserve"> PAGEREF _Toc529178344 \h </w:instrText>
            </w:r>
            <w:r w:rsidR="000D7D6E">
              <w:rPr>
                <w:noProof/>
                <w:webHidden/>
              </w:rPr>
            </w:r>
            <w:r w:rsidR="000D7D6E">
              <w:rPr>
                <w:noProof/>
                <w:webHidden/>
              </w:rPr>
              <w:fldChar w:fldCharType="separate"/>
            </w:r>
            <w:r w:rsidR="000D7D6E">
              <w:rPr>
                <w:noProof/>
                <w:webHidden/>
              </w:rPr>
              <w:t>25</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5" w:history="1">
            <w:r w:rsidR="000D7D6E" w:rsidRPr="00216E23">
              <w:rPr>
                <w:rStyle w:val="Hyperlink"/>
                <w:b/>
                <w:noProof/>
                <w:lang w:eastAsia="en-GB"/>
              </w:rPr>
              <w:t>Indicator 9: AFFORDABLE HOMES BUILT ON CITY COUNCIL LAND</w:t>
            </w:r>
            <w:r w:rsidR="000D7D6E">
              <w:rPr>
                <w:noProof/>
                <w:webHidden/>
              </w:rPr>
              <w:tab/>
            </w:r>
            <w:r w:rsidR="000D7D6E">
              <w:rPr>
                <w:noProof/>
                <w:webHidden/>
              </w:rPr>
              <w:fldChar w:fldCharType="begin"/>
            </w:r>
            <w:r w:rsidR="000D7D6E">
              <w:rPr>
                <w:noProof/>
                <w:webHidden/>
              </w:rPr>
              <w:instrText xml:space="preserve"> PAGEREF _Toc529178345 \h </w:instrText>
            </w:r>
            <w:r w:rsidR="000D7D6E">
              <w:rPr>
                <w:noProof/>
                <w:webHidden/>
              </w:rPr>
            </w:r>
            <w:r w:rsidR="000D7D6E">
              <w:rPr>
                <w:noProof/>
                <w:webHidden/>
              </w:rPr>
              <w:fldChar w:fldCharType="separate"/>
            </w:r>
            <w:r w:rsidR="000D7D6E">
              <w:rPr>
                <w:noProof/>
                <w:webHidden/>
              </w:rPr>
              <w:t>27</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6" w:history="1">
            <w:r w:rsidR="000D7D6E" w:rsidRPr="00216E23">
              <w:rPr>
                <w:rStyle w:val="Hyperlink"/>
                <w:b/>
                <w:noProof/>
                <w:lang w:eastAsia="en-GB"/>
              </w:rPr>
              <w:t>Indicator 10: PROPORTION OF AFFORDABLE HOUSING WHERE THERE IS A POLICY REQUIREMENT (PERMISSIONS)</w:t>
            </w:r>
            <w:r w:rsidR="000D7D6E">
              <w:rPr>
                <w:noProof/>
                <w:webHidden/>
              </w:rPr>
              <w:tab/>
            </w:r>
            <w:r w:rsidR="000D7D6E">
              <w:rPr>
                <w:noProof/>
                <w:webHidden/>
              </w:rPr>
              <w:fldChar w:fldCharType="begin"/>
            </w:r>
            <w:r w:rsidR="000D7D6E">
              <w:rPr>
                <w:noProof/>
                <w:webHidden/>
              </w:rPr>
              <w:instrText xml:space="preserve"> PAGEREF _Toc529178346 \h </w:instrText>
            </w:r>
            <w:r w:rsidR="000D7D6E">
              <w:rPr>
                <w:noProof/>
                <w:webHidden/>
              </w:rPr>
            </w:r>
            <w:r w:rsidR="000D7D6E">
              <w:rPr>
                <w:noProof/>
                <w:webHidden/>
              </w:rPr>
              <w:fldChar w:fldCharType="separate"/>
            </w:r>
            <w:r w:rsidR="000D7D6E">
              <w:rPr>
                <w:noProof/>
                <w:webHidden/>
              </w:rPr>
              <w:t>28</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7" w:history="1">
            <w:r w:rsidR="000D7D6E" w:rsidRPr="00216E23">
              <w:rPr>
                <w:rStyle w:val="Hyperlink"/>
                <w:b/>
                <w:noProof/>
                <w:lang w:eastAsia="en-GB"/>
              </w:rPr>
              <w:t>Indicator 11: FINANCIAL CONTRIBUTIONS TOWARDS AFFORDABLE HOUSING</w:t>
            </w:r>
            <w:r w:rsidR="000D7D6E">
              <w:rPr>
                <w:noProof/>
                <w:webHidden/>
              </w:rPr>
              <w:tab/>
            </w:r>
            <w:r w:rsidR="000D7D6E">
              <w:rPr>
                <w:noProof/>
                <w:webHidden/>
              </w:rPr>
              <w:fldChar w:fldCharType="begin"/>
            </w:r>
            <w:r w:rsidR="000D7D6E">
              <w:rPr>
                <w:noProof/>
                <w:webHidden/>
              </w:rPr>
              <w:instrText xml:space="preserve"> PAGEREF _Toc529178347 \h </w:instrText>
            </w:r>
            <w:r w:rsidR="000D7D6E">
              <w:rPr>
                <w:noProof/>
                <w:webHidden/>
              </w:rPr>
            </w:r>
            <w:r w:rsidR="000D7D6E">
              <w:rPr>
                <w:noProof/>
                <w:webHidden/>
              </w:rPr>
              <w:fldChar w:fldCharType="separate"/>
            </w:r>
            <w:r w:rsidR="000D7D6E">
              <w:rPr>
                <w:noProof/>
                <w:webHidden/>
              </w:rPr>
              <w:t>29</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8" w:history="1">
            <w:r w:rsidR="000D7D6E" w:rsidRPr="00216E23">
              <w:rPr>
                <w:rStyle w:val="Hyperlink"/>
                <w:b/>
                <w:noProof/>
                <w:lang w:eastAsia="en-GB"/>
              </w:rPr>
              <w:t>Indicator 12: CHANGES OF USE FROM NON-RESIDENTIAL TO RESIDENTIAL (COMPLETIONS)</w:t>
            </w:r>
            <w:r w:rsidR="000D7D6E">
              <w:rPr>
                <w:noProof/>
                <w:webHidden/>
              </w:rPr>
              <w:tab/>
            </w:r>
            <w:r w:rsidR="000D7D6E">
              <w:rPr>
                <w:noProof/>
                <w:webHidden/>
              </w:rPr>
              <w:fldChar w:fldCharType="begin"/>
            </w:r>
            <w:r w:rsidR="000D7D6E">
              <w:rPr>
                <w:noProof/>
                <w:webHidden/>
              </w:rPr>
              <w:instrText xml:space="preserve"> PAGEREF _Toc529178348 \h </w:instrText>
            </w:r>
            <w:r w:rsidR="000D7D6E">
              <w:rPr>
                <w:noProof/>
                <w:webHidden/>
              </w:rPr>
            </w:r>
            <w:r w:rsidR="000D7D6E">
              <w:rPr>
                <w:noProof/>
                <w:webHidden/>
              </w:rPr>
              <w:fldChar w:fldCharType="separate"/>
            </w:r>
            <w:r w:rsidR="000D7D6E">
              <w:rPr>
                <w:noProof/>
                <w:webHidden/>
              </w:rPr>
              <w:t>31</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49" w:history="1">
            <w:r w:rsidR="000D7D6E" w:rsidRPr="00216E23">
              <w:rPr>
                <w:rStyle w:val="Hyperlink"/>
                <w:b/>
                <w:noProof/>
                <w:lang w:eastAsia="en-GB"/>
              </w:rPr>
              <w:t>Indicator 13: CHANGES OF USE FROM EXISTING HOMES (PERMISSIONS)</w:t>
            </w:r>
            <w:r w:rsidR="000D7D6E">
              <w:rPr>
                <w:noProof/>
                <w:webHidden/>
              </w:rPr>
              <w:tab/>
            </w:r>
            <w:r w:rsidR="000D7D6E">
              <w:rPr>
                <w:noProof/>
                <w:webHidden/>
              </w:rPr>
              <w:fldChar w:fldCharType="begin"/>
            </w:r>
            <w:r w:rsidR="000D7D6E">
              <w:rPr>
                <w:noProof/>
                <w:webHidden/>
              </w:rPr>
              <w:instrText xml:space="preserve"> PAGEREF _Toc529178349 \h </w:instrText>
            </w:r>
            <w:r w:rsidR="000D7D6E">
              <w:rPr>
                <w:noProof/>
                <w:webHidden/>
              </w:rPr>
            </w:r>
            <w:r w:rsidR="000D7D6E">
              <w:rPr>
                <w:noProof/>
                <w:webHidden/>
              </w:rPr>
              <w:fldChar w:fldCharType="separate"/>
            </w:r>
            <w:r w:rsidR="000D7D6E">
              <w:rPr>
                <w:noProof/>
                <w:webHidden/>
              </w:rPr>
              <w:t>33</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0" w:history="1">
            <w:r w:rsidR="000D7D6E" w:rsidRPr="00216E23">
              <w:rPr>
                <w:rStyle w:val="Hyperlink"/>
                <w:b/>
                <w:noProof/>
                <w:lang w:eastAsia="en-GB"/>
              </w:rPr>
              <w:t>Indicator 14: RESIDENTIAL DEVELOPMENT COMPLETED ON PREVIOUSLY DEVELOPED LAND</w:t>
            </w:r>
            <w:r w:rsidR="000D7D6E">
              <w:rPr>
                <w:noProof/>
                <w:webHidden/>
              </w:rPr>
              <w:tab/>
            </w:r>
            <w:r w:rsidR="000D7D6E">
              <w:rPr>
                <w:noProof/>
                <w:webHidden/>
              </w:rPr>
              <w:fldChar w:fldCharType="begin"/>
            </w:r>
            <w:r w:rsidR="000D7D6E">
              <w:rPr>
                <w:noProof/>
                <w:webHidden/>
              </w:rPr>
              <w:instrText xml:space="preserve"> PAGEREF _Toc529178350 \h </w:instrText>
            </w:r>
            <w:r w:rsidR="000D7D6E">
              <w:rPr>
                <w:noProof/>
                <w:webHidden/>
              </w:rPr>
            </w:r>
            <w:r w:rsidR="000D7D6E">
              <w:rPr>
                <w:noProof/>
                <w:webHidden/>
              </w:rPr>
              <w:fldChar w:fldCharType="separate"/>
            </w:r>
            <w:r w:rsidR="000D7D6E">
              <w:rPr>
                <w:noProof/>
                <w:webHidden/>
              </w:rPr>
              <w:t>33</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1" w:history="1">
            <w:r w:rsidR="000D7D6E" w:rsidRPr="00216E23">
              <w:rPr>
                <w:rStyle w:val="Hyperlink"/>
                <w:b/>
                <w:noProof/>
                <w:lang w:eastAsia="en-GB"/>
              </w:rPr>
              <w:t>Indicator 15: MIX OF HOUSING (DWELLING SIZE)</w:t>
            </w:r>
            <w:r w:rsidR="000D7D6E">
              <w:rPr>
                <w:noProof/>
                <w:webHidden/>
              </w:rPr>
              <w:tab/>
            </w:r>
            <w:r w:rsidR="000D7D6E">
              <w:rPr>
                <w:noProof/>
                <w:webHidden/>
              </w:rPr>
              <w:fldChar w:fldCharType="begin"/>
            </w:r>
            <w:r w:rsidR="000D7D6E">
              <w:rPr>
                <w:noProof/>
                <w:webHidden/>
              </w:rPr>
              <w:instrText xml:space="preserve"> PAGEREF _Toc529178351 \h </w:instrText>
            </w:r>
            <w:r w:rsidR="000D7D6E">
              <w:rPr>
                <w:noProof/>
                <w:webHidden/>
              </w:rPr>
            </w:r>
            <w:r w:rsidR="000D7D6E">
              <w:rPr>
                <w:noProof/>
                <w:webHidden/>
              </w:rPr>
              <w:fldChar w:fldCharType="separate"/>
            </w:r>
            <w:r w:rsidR="000D7D6E">
              <w:rPr>
                <w:noProof/>
                <w:webHidden/>
              </w:rPr>
              <w:t>34</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2" w:history="1">
            <w:r w:rsidR="000D7D6E" w:rsidRPr="00216E23">
              <w:rPr>
                <w:rStyle w:val="Hyperlink"/>
                <w:b/>
                <w:noProof/>
                <w:lang w:eastAsia="en-GB"/>
              </w:rPr>
              <w:t>Indicator 16: DEMAND FOR SELF-BUILD AND CUSTOM HOUSEBUILDING PLOTS</w:t>
            </w:r>
            <w:r w:rsidR="000D7D6E">
              <w:rPr>
                <w:noProof/>
                <w:webHidden/>
              </w:rPr>
              <w:tab/>
            </w:r>
            <w:r w:rsidR="000D7D6E">
              <w:rPr>
                <w:noProof/>
                <w:webHidden/>
              </w:rPr>
              <w:fldChar w:fldCharType="begin"/>
            </w:r>
            <w:r w:rsidR="000D7D6E">
              <w:rPr>
                <w:noProof/>
                <w:webHidden/>
              </w:rPr>
              <w:instrText xml:space="preserve"> PAGEREF _Toc529178352 \h </w:instrText>
            </w:r>
            <w:r w:rsidR="000D7D6E">
              <w:rPr>
                <w:noProof/>
                <w:webHidden/>
              </w:rPr>
            </w:r>
            <w:r w:rsidR="000D7D6E">
              <w:rPr>
                <w:noProof/>
                <w:webHidden/>
              </w:rPr>
              <w:fldChar w:fldCharType="separate"/>
            </w:r>
            <w:r w:rsidR="000D7D6E">
              <w:rPr>
                <w:noProof/>
                <w:webHidden/>
              </w:rPr>
              <w:t>37</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3" w:history="1">
            <w:r w:rsidR="000D7D6E" w:rsidRPr="00216E23">
              <w:rPr>
                <w:rStyle w:val="Hyperlink"/>
                <w:b/>
                <w:noProof/>
                <w:lang w:eastAsia="en-GB"/>
              </w:rPr>
              <w:t>Indicator 17: STUDENTS AND PURPOSE BUILT STUDENT ACCOMMODATION</w:t>
            </w:r>
            <w:r w:rsidR="000D7D6E">
              <w:rPr>
                <w:noProof/>
                <w:webHidden/>
              </w:rPr>
              <w:tab/>
            </w:r>
            <w:r w:rsidR="000D7D6E">
              <w:rPr>
                <w:noProof/>
                <w:webHidden/>
              </w:rPr>
              <w:fldChar w:fldCharType="begin"/>
            </w:r>
            <w:r w:rsidR="000D7D6E">
              <w:rPr>
                <w:noProof/>
                <w:webHidden/>
              </w:rPr>
              <w:instrText xml:space="preserve"> PAGEREF _Toc529178353 \h </w:instrText>
            </w:r>
            <w:r w:rsidR="000D7D6E">
              <w:rPr>
                <w:noProof/>
                <w:webHidden/>
              </w:rPr>
            </w:r>
            <w:r w:rsidR="000D7D6E">
              <w:rPr>
                <w:noProof/>
                <w:webHidden/>
              </w:rPr>
              <w:fldChar w:fldCharType="separate"/>
            </w:r>
            <w:r w:rsidR="000D7D6E">
              <w:rPr>
                <w:noProof/>
                <w:webHidden/>
              </w:rPr>
              <w:t>38</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4" w:history="1">
            <w:r w:rsidR="000D7D6E" w:rsidRPr="00216E23">
              <w:rPr>
                <w:rStyle w:val="Hyperlink"/>
                <w:b/>
                <w:noProof/>
                <w:lang w:eastAsia="en-GB"/>
              </w:rPr>
              <w:t>Indicator 18: LOCATION OF NEW STUDENT ACCOMODATION</w:t>
            </w:r>
            <w:r w:rsidR="000D7D6E">
              <w:rPr>
                <w:noProof/>
                <w:webHidden/>
              </w:rPr>
              <w:tab/>
            </w:r>
            <w:r w:rsidR="000D7D6E">
              <w:rPr>
                <w:noProof/>
                <w:webHidden/>
              </w:rPr>
              <w:fldChar w:fldCharType="begin"/>
            </w:r>
            <w:r w:rsidR="000D7D6E">
              <w:rPr>
                <w:noProof/>
                <w:webHidden/>
              </w:rPr>
              <w:instrText xml:space="preserve"> PAGEREF _Toc529178354 \h </w:instrText>
            </w:r>
            <w:r w:rsidR="000D7D6E">
              <w:rPr>
                <w:noProof/>
                <w:webHidden/>
              </w:rPr>
            </w:r>
            <w:r w:rsidR="000D7D6E">
              <w:rPr>
                <w:noProof/>
                <w:webHidden/>
              </w:rPr>
              <w:fldChar w:fldCharType="separate"/>
            </w:r>
            <w:r w:rsidR="000D7D6E">
              <w:rPr>
                <w:noProof/>
                <w:webHidden/>
              </w:rPr>
              <w:t>42</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5" w:history="1">
            <w:r w:rsidR="000D7D6E" w:rsidRPr="00216E23">
              <w:rPr>
                <w:rStyle w:val="Hyperlink"/>
                <w:b/>
                <w:noProof/>
                <w:lang w:eastAsia="en-GB"/>
              </w:rPr>
              <w:t>Indicator 19: HOUSES IN MULTIPLE OCCUPATION (HMOs)</w:t>
            </w:r>
            <w:r w:rsidR="000D7D6E">
              <w:rPr>
                <w:noProof/>
                <w:webHidden/>
              </w:rPr>
              <w:tab/>
            </w:r>
            <w:r w:rsidR="000D7D6E">
              <w:rPr>
                <w:noProof/>
                <w:webHidden/>
              </w:rPr>
              <w:fldChar w:fldCharType="begin"/>
            </w:r>
            <w:r w:rsidR="000D7D6E">
              <w:rPr>
                <w:noProof/>
                <w:webHidden/>
              </w:rPr>
              <w:instrText xml:space="preserve"> PAGEREF _Toc529178355 \h </w:instrText>
            </w:r>
            <w:r w:rsidR="000D7D6E">
              <w:rPr>
                <w:noProof/>
                <w:webHidden/>
              </w:rPr>
            </w:r>
            <w:r w:rsidR="000D7D6E">
              <w:rPr>
                <w:noProof/>
                <w:webHidden/>
              </w:rPr>
              <w:fldChar w:fldCharType="separate"/>
            </w:r>
            <w:r w:rsidR="000D7D6E">
              <w:rPr>
                <w:noProof/>
                <w:webHidden/>
              </w:rPr>
              <w:t>45</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6" w:history="1">
            <w:r w:rsidR="000D7D6E" w:rsidRPr="00216E23">
              <w:rPr>
                <w:rStyle w:val="Hyperlink"/>
                <w:b/>
                <w:noProof/>
                <w:lang w:eastAsia="en-GB"/>
              </w:rPr>
              <w:t>Indicator 20: RESIDENTIAL MOORINGS</w:t>
            </w:r>
            <w:r w:rsidR="000D7D6E">
              <w:rPr>
                <w:noProof/>
                <w:webHidden/>
              </w:rPr>
              <w:tab/>
            </w:r>
            <w:r w:rsidR="000D7D6E">
              <w:rPr>
                <w:noProof/>
                <w:webHidden/>
              </w:rPr>
              <w:fldChar w:fldCharType="begin"/>
            </w:r>
            <w:r w:rsidR="000D7D6E">
              <w:rPr>
                <w:noProof/>
                <w:webHidden/>
              </w:rPr>
              <w:instrText xml:space="preserve"> PAGEREF _Toc529178356 \h </w:instrText>
            </w:r>
            <w:r w:rsidR="000D7D6E">
              <w:rPr>
                <w:noProof/>
                <w:webHidden/>
              </w:rPr>
            </w:r>
            <w:r w:rsidR="000D7D6E">
              <w:rPr>
                <w:noProof/>
                <w:webHidden/>
              </w:rPr>
              <w:fldChar w:fldCharType="separate"/>
            </w:r>
            <w:r w:rsidR="000D7D6E">
              <w:rPr>
                <w:noProof/>
                <w:webHidden/>
              </w:rPr>
              <w:t>47</w:t>
            </w:r>
            <w:r w:rsidR="000D7D6E">
              <w:rPr>
                <w:noProof/>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57" w:history="1">
            <w:r w:rsidR="000D7D6E" w:rsidRPr="00216E23">
              <w:rPr>
                <w:rStyle w:val="Hyperlink"/>
              </w:rPr>
              <w:t>Strong and Active Communities</w:t>
            </w:r>
            <w:r w:rsidR="000D7D6E">
              <w:rPr>
                <w:webHidden/>
              </w:rPr>
              <w:tab/>
            </w:r>
            <w:r w:rsidR="000D7D6E">
              <w:rPr>
                <w:webHidden/>
              </w:rPr>
              <w:fldChar w:fldCharType="begin"/>
            </w:r>
            <w:r w:rsidR="000D7D6E">
              <w:rPr>
                <w:webHidden/>
              </w:rPr>
              <w:instrText xml:space="preserve"> PAGEREF _Toc529178357 \h </w:instrText>
            </w:r>
            <w:r w:rsidR="000D7D6E">
              <w:rPr>
                <w:webHidden/>
              </w:rPr>
            </w:r>
            <w:r w:rsidR="000D7D6E">
              <w:rPr>
                <w:webHidden/>
              </w:rPr>
              <w:fldChar w:fldCharType="separate"/>
            </w:r>
            <w:r w:rsidR="000D7D6E">
              <w:rPr>
                <w:webHidden/>
              </w:rPr>
              <w:t>48</w:t>
            </w:r>
            <w:r w:rsidR="000D7D6E">
              <w:rPr>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8" w:history="1">
            <w:r w:rsidR="000D7D6E" w:rsidRPr="00216E23">
              <w:rPr>
                <w:rStyle w:val="Hyperlink"/>
                <w:b/>
                <w:noProof/>
                <w:lang w:eastAsia="en-GB"/>
              </w:rPr>
              <w:t>Indicator 21: REGENERATION AREAS</w:t>
            </w:r>
            <w:r w:rsidR="000D7D6E">
              <w:rPr>
                <w:noProof/>
                <w:webHidden/>
              </w:rPr>
              <w:tab/>
            </w:r>
            <w:r w:rsidR="000D7D6E">
              <w:rPr>
                <w:noProof/>
                <w:webHidden/>
              </w:rPr>
              <w:fldChar w:fldCharType="begin"/>
            </w:r>
            <w:r w:rsidR="000D7D6E">
              <w:rPr>
                <w:noProof/>
                <w:webHidden/>
              </w:rPr>
              <w:instrText xml:space="preserve"> PAGEREF _Toc529178358 \h </w:instrText>
            </w:r>
            <w:r w:rsidR="000D7D6E">
              <w:rPr>
                <w:noProof/>
                <w:webHidden/>
              </w:rPr>
            </w:r>
            <w:r w:rsidR="000D7D6E">
              <w:rPr>
                <w:noProof/>
                <w:webHidden/>
              </w:rPr>
              <w:fldChar w:fldCharType="separate"/>
            </w:r>
            <w:r w:rsidR="000D7D6E">
              <w:rPr>
                <w:noProof/>
                <w:webHidden/>
              </w:rPr>
              <w:t>49</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59" w:history="1">
            <w:r w:rsidR="000D7D6E" w:rsidRPr="00216E23">
              <w:rPr>
                <w:rStyle w:val="Hyperlink"/>
                <w:noProof/>
              </w:rPr>
              <w:t>Indicator 22: WEST END AREA ACTION PLAN</w:t>
            </w:r>
            <w:r w:rsidR="000D7D6E">
              <w:rPr>
                <w:noProof/>
                <w:webHidden/>
              </w:rPr>
              <w:tab/>
            </w:r>
            <w:r w:rsidR="000D7D6E">
              <w:rPr>
                <w:noProof/>
                <w:webHidden/>
              </w:rPr>
              <w:fldChar w:fldCharType="begin"/>
            </w:r>
            <w:r w:rsidR="000D7D6E">
              <w:rPr>
                <w:noProof/>
                <w:webHidden/>
              </w:rPr>
              <w:instrText xml:space="preserve"> PAGEREF _Toc529178359 \h </w:instrText>
            </w:r>
            <w:r w:rsidR="000D7D6E">
              <w:rPr>
                <w:noProof/>
                <w:webHidden/>
              </w:rPr>
            </w:r>
            <w:r w:rsidR="000D7D6E">
              <w:rPr>
                <w:noProof/>
                <w:webHidden/>
              </w:rPr>
              <w:fldChar w:fldCharType="separate"/>
            </w:r>
            <w:r w:rsidR="000D7D6E">
              <w:rPr>
                <w:noProof/>
                <w:webHidden/>
              </w:rPr>
              <w:t>52</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0" w:history="1">
            <w:r w:rsidR="000D7D6E" w:rsidRPr="00216E23">
              <w:rPr>
                <w:rStyle w:val="Hyperlink"/>
                <w:noProof/>
              </w:rPr>
              <w:t>Indicator 23: BARTON AREA ACTION PLAN</w:t>
            </w:r>
            <w:r w:rsidR="000D7D6E">
              <w:rPr>
                <w:noProof/>
                <w:webHidden/>
              </w:rPr>
              <w:tab/>
            </w:r>
            <w:r w:rsidR="000D7D6E">
              <w:rPr>
                <w:noProof/>
                <w:webHidden/>
              </w:rPr>
              <w:fldChar w:fldCharType="begin"/>
            </w:r>
            <w:r w:rsidR="000D7D6E">
              <w:rPr>
                <w:noProof/>
                <w:webHidden/>
              </w:rPr>
              <w:instrText xml:space="preserve"> PAGEREF _Toc529178360 \h </w:instrText>
            </w:r>
            <w:r w:rsidR="000D7D6E">
              <w:rPr>
                <w:noProof/>
                <w:webHidden/>
              </w:rPr>
            </w:r>
            <w:r w:rsidR="000D7D6E">
              <w:rPr>
                <w:noProof/>
                <w:webHidden/>
              </w:rPr>
              <w:fldChar w:fldCharType="separate"/>
            </w:r>
            <w:r w:rsidR="000D7D6E">
              <w:rPr>
                <w:noProof/>
                <w:webHidden/>
              </w:rPr>
              <w:t>54</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1" w:history="1">
            <w:r w:rsidR="000D7D6E" w:rsidRPr="00216E23">
              <w:rPr>
                <w:rStyle w:val="Hyperlink"/>
                <w:b/>
                <w:noProof/>
                <w:lang w:eastAsia="en-GB"/>
              </w:rPr>
              <w:t>Indicator 24: NORTHERN GATEWAY AREA ACTION PLAN</w:t>
            </w:r>
            <w:r w:rsidR="000D7D6E">
              <w:rPr>
                <w:noProof/>
                <w:webHidden/>
              </w:rPr>
              <w:tab/>
            </w:r>
            <w:r w:rsidR="000D7D6E">
              <w:rPr>
                <w:noProof/>
                <w:webHidden/>
              </w:rPr>
              <w:fldChar w:fldCharType="begin"/>
            </w:r>
            <w:r w:rsidR="000D7D6E">
              <w:rPr>
                <w:noProof/>
                <w:webHidden/>
              </w:rPr>
              <w:instrText xml:space="preserve"> PAGEREF _Toc529178361 \h </w:instrText>
            </w:r>
            <w:r w:rsidR="000D7D6E">
              <w:rPr>
                <w:noProof/>
                <w:webHidden/>
              </w:rPr>
            </w:r>
            <w:r w:rsidR="000D7D6E">
              <w:rPr>
                <w:noProof/>
                <w:webHidden/>
              </w:rPr>
              <w:fldChar w:fldCharType="separate"/>
            </w:r>
            <w:r w:rsidR="000D7D6E">
              <w:rPr>
                <w:noProof/>
                <w:webHidden/>
              </w:rPr>
              <w:t>56</w:t>
            </w:r>
            <w:r w:rsidR="000D7D6E">
              <w:rPr>
                <w:noProof/>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62" w:history="1">
            <w:r w:rsidR="000D7D6E" w:rsidRPr="00216E23">
              <w:rPr>
                <w:rStyle w:val="Hyperlink"/>
              </w:rPr>
              <w:t>Cleaner and Greener Oxford</w:t>
            </w:r>
            <w:r w:rsidR="000D7D6E">
              <w:rPr>
                <w:webHidden/>
              </w:rPr>
              <w:tab/>
            </w:r>
            <w:r w:rsidR="000D7D6E">
              <w:rPr>
                <w:webHidden/>
              </w:rPr>
              <w:fldChar w:fldCharType="begin"/>
            </w:r>
            <w:r w:rsidR="000D7D6E">
              <w:rPr>
                <w:webHidden/>
              </w:rPr>
              <w:instrText xml:space="preserve"> PAGEREF _Toc529178362 \h </w:instrText>
            </w:r>
            <w:r w:rsidR="000D7D6E">
              <w:rPr>
                <w:webHidden/>
              </w:rPr>
            </w:r>
            <w:r w:rsidR="000D7D6E">
              <w:rPr>
                <w:webHidden/>
              </w:rPr>
              <w:fldChar w:fldCharType="separate"/>
            </w:r>
            <w:r w:rsidR="000D7D6E">
              <w:rPr>
                <w:webHidden/>
              </w:rPr>
              <w:t>57</w:t>
            </w:r>
            <w:r w:rsidR="000D7D6E">
              <w:rPr>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3" w:history="1">
            <w:r w:rsidR="000D7D6E" w:rsidRPr="00216E23">
              <w:rPr>
                <w:rStyle w:val="Hyperlink"/>
                <w:noProof/>
              </w:rPr>
              <w:t>INDICATOR 25: CHANGES IN AREAS OF BIODIVERSITY IMPORTANCE</w:t>
            </w:r>
            <w:r w:rsidR="000D7D6E">
              <w:rPr>
                <w:noProof/>
                <w:webHidden/>
              </w:rPr>
              <w:tab/>
            </w:r>
            <w:r w:rsidR="000D7D6E">
              <w:rPr>
                <w:noProof/>
                <w:webHidden/>
              </w:rPr>
              <w:fldChar w:fldCharType="begin"/>
            </w:r>
            <w:r w:rsidR="000D7D6E">
              <w:rPr>
                <w:noProof/>
                <w:webHidden/>
              </w:rPr>
              <w:instrText xml:space="preserve"> PAGEREF _Toc529178363 \h </w:instrText>
            </w:r>
            <w:r w:rsidR="000D7D6E">
              <w:rPr>
                <w:noProof/>
                <w:webHidden/>
              </w:rPr>
            </w:r>
            <w:r w:rsidR="000D7D6E">
              <w:rPr>
                <w:noProof/>
                <w:webHidden/>
              </w:rPr>
              <w:fldChar w:fldCharType="separate"/>
            </w:r>
            <w:r w:rsidR="000D7D6E">
              <w:rPr>
                <w:noProof/>
                <w:webHidden/>
              </w:rPr>
              <w:t>58</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4" w:history="1">
            <w:r w:rsidR="000D7D6E" w:rsidRPr="00216E23">
              <w:rPr>
                <w:rStyle w:val="Hyperlink"/>
                <w:noProof/>
              </w:rPr>
              <w:t>INDICATOR 26: NATURAL RESOURCE IMPACT ANALYSIS AND ON-SITE RENEWABLE ENERGY GENERATION</w:t>
            </w:r>
            <w:r w:rsidR="000D7D6E">
              <w:rPr>
                <w:noProof/>
                <w:webHidden/>
              </w:rPr>
              <w:tab/>
            </w:r>
            <w:r w:rsidR="000D7D6E">
              <w:rPr>
                <w:noProof/>
                <w:webHidden/>
              </w:rPr>
              <w:fldChar w:fldCharType="begin"/>
            </w:r>
            <w:r w:rsidR="000D7D6E">
              <w:rPr>
                <w:noProof/>
                <w:webHidden/>
              </w:rPr>
              <w:instrText xml:space="preserve"> PAGEREF _Toc529178364 \h </w:instrText>
            </w:r>
            <w:r w:rsidR="000D7D6E">
              <w:rPr>
                <w:noProof/>
                <w:webHidden/>
              </w:rPr>
            </w:r>
            <w:r w:rsidR="000D7D6E">
              <w:rPr>
                <w:noProof/>
                <w:webHidden/>
              </w:rPr>
              <w:fldChar w:fldCharType="separate"/>
            </w:r>
            <w:r w:rsidR="000D7D6E">
              <w:rPr>
                <w:noProof/>
                <w:webHidden/>
              </w:rPr>
              <w:t>59</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5" w:history="1">
            <w:r w:rsidR="000D7D6E" w:rsidRPr="00216E23">
              <w:rPr>
                <w:rStyle w:val="Hyperlink"/>
                <w:noProof/>
              </w:rPr>
              <w:t>INDICATOR 27: DEVELOPMENT IN THE GREEN BELT</w:t>
            </w:r>
            <w:r w:rsidR="000D7D6E">
              <w:rPr>
                <w:noProof/>
                <w:webHidden/>
              </w:rPr>
              <w:tab/>
            </w:r>
            <w:r w:rsidR="000D7D6E">
              <w:rPr>
                <w:noProof/>
                <w:webHidden/>
              </w:rPr>
              <w:fldChar w:fldCharType="begin"/>
            </w:r>
            <w:r w:rsidR="000D7D6E">
              <w:rPr>
                <w:noProof/>
                <w:webHidden/>
              </w:rPr>
              <w:instrText xml:space="preserve"> PAGEREF _Toc529178365 \h </w:instrText>
            </w:r>
            <w:r w:rsidR="000D7D6E">
              <w:rPr>
                <w:noProof/>
                <w:webHidden/>
              </w:rPr>
            </w:r>
            <w:r w:rsidR="000D7D6E">
              <w:rPr>
                <w:noProof/>
                <w:webHidden/>
              </w:rPr>
              <w:fldChar w:fldCharType="separate"/>
            </w:r>
            <w:r w:rsidR="000D7D6E">
              <w:rPr>
                <w:noProof/>
                <w:webHidden/>
              </w:rPr>
              <w:t>62</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6" w:history="1">
            <w:r w:rsidR="000D7D6E" w:rsidRPr="00216E23">
              <w:rPr>
                <w:rStyle w:val="Hyperlink"/>
                <w:noProof/>
              </w:rPr>
              <w:t>INDICATOR 28: HERITAGE ASSETS AT RISK</w:t>
            </w:r>
            <w:r w:rsidR="000D7D6E">
              <w:rPr>
                <w:noProof/>
                <w:webHidden/>
              </w:rPr>
              <w:tab/>
            </w:r>
            <w:r w:rsidR="000D7D6E">
              <w:rPr>
                <w:noProof/>
                <w:webHidden/>
              </w:rPr>
              <w:fldChar w:fldCharType="begin"/>
            </w:r>
            <w:r w:rsidR="000D7D6E">
              <w:rPr>
                <w:noProof/>
                <w:webHidden/>
              </w:rPr>
              <w:instrText xml:space="preserve"> PAGEREF _Toc529178366 \h </w:instrText>
            </w:r>
            <w:r w:rsidR="000D7D6E">
              <w:rPr>
                <w:noProof/>
                <w:webHidden/>
              </w:rPr>
            </w:r>
            <w:r w:rsidR="000D7D6E">
              <w:rPr>
                <w:noProof/>
                <w:webHidden/>
              </w:rPr>
              <w:fldChar w:fldCharType="separate"/>
            </w:r>
            <w:r w:rsidR="000D7D6E">
              <w:rPr>
                <w:noProof/>
                <w:webHidden/>
              </w:rPr>
              <w:t>64</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7" w:history="1">
            <w:r w:rsidR="000D7D6E" w:rsidRPr="00216E23">
              <w:rPr>
                <w:rStyle w:val="Hyperlink"/>
                <w:noProof/>
              </w:rPr>
              <w:t>INDICATOR 29: APPLICATIONS INVOLVING THE TOTAL, SUBSTANTIAL OR PARTIAL DEMOLITION OF A LISTED BUILDING</w:t>
            </w:r>
            <w:r w:rsidR="000D7D6E">
              <w:rPr>
                <w:noProof/>
                <w:webHidden/>
              </w:rPr>
              <w:tab/>
            </w:r>
            <w:r w:rsidR="000D7D6E">
              <w:rPr>
                <w:noProof/>
                <w:webHidden/>
              </w:rPr>
              <w:fldChar w:fldCharType="begin"/>
            </w:r>
            <w:r w:rsidR="000D7D6E">
              <w:rPr>
                <w:noProof/>
                <w:webHidden/>
              </w:rPr>
              <w:instrText xml:space="preserve"> PAGEREF _Toc529178367 \h </w:instrText>
            </w:r>
            <w:r w:rsidR="000D7D6E">
              <w:rPr>
                <w:noProof/>
                <w:webHidden/>
              </w:rPr>
            </w:r>
            <w:r w:rsidR="000D7D6E">
              <w:rPr>
                <w:noProof/>
                <w:webHidden/>
              </w:rPr>
              <w:fldChar w:fldCharType="separate"/>
            </w:r>
            <w:r w:rsidR="000D7D6E">
              <w:rPr>
                <w:noProof/>
                <w:webHidden/>
              </w:rPr>
              <w:t>65</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8" w:history="1">
            <w:r w:rsidR="000D7D6E" w:rsidRPr="00216E23">
              <w:rPr>
                <w:rStyle w:val="Hyperlink"/>
                <w:noProof/>
              </w:rPr>
              <w:t>Indicator 30: Appeals allowed where conservation policies were cited as a reason for refusal</w:t>
            </w:r>
            <w:r w:rsidR="000D7D6E">
              <w:rPr>
                <w:noProof/>
                <w:webHidden/>
              </w:rPr>
              <w:tab/>
            </w:r>
            <w:r w:rsidR="000D7D6E">
              <w:rPr>
                <w:noProof/>
                <w:webHidden/>
              </w:rPr>
              <w:fldChar w:fldCharType="begin"/>
            </w:r>
            <w:r w:rsidR="000D7D6E">
              <w:rPr>
                <w:noProof/>
                <w:webHidden/>
              </w:rPr>
              <w:instrText xml:space="preserve"> PAGEREF _Toc529178368 \h </w:instrText>
            </w:r>
            <w:r w:rsidR="000D7D6E">
              <w:rPr>
                <w:noProof/>
                <w:webHidden/>
              </w:rPr>
            </w:r>
            <w:r w:rsidR="000D7D6E">
              <w:rPr>
                <w:noProof/>
                <w:webHidden/>
              </w:rPr>
              <w:fldChar w:fldCharType="separate"/>
            </w:r>
            <w:r w:rsidR="000D7D6E">
              <w:rPr>
                <w:noProof/>
                <w:webHidden/>
              </w:rPr>
              <w:t>66</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69" w:history="1">
            <w:r w:rsidR="000D7D6E" w:rsidRPr="00216E23">
              <w:rPr>
                <w:rStyle w:val="Hyperlink"/>
                <w:noProof/>
              </w:rPr>
              <w:t>INDICATOR 31: TREE PRESERVATION ORDERS (TPOS)</w:t>
            </w:r>
            <w:r w:rsidR="000D7D6E">
              <w:rPr>
                <w:noProof/>
                <w:webHidden/>
              </w:rPr>
              <w:tab/>
            </w:r>
            <w:r w:rsidR="000D7D6E">
              <w:rPr>
                <w:noProof/>
                <w:webHidden/>
              </w:rPr>
              <w:fldChar w:fldCharType="begin"/>
            </w:r>
            <w:r w:rsidR="000D7D6E">
              <w:rPr>
                <w:noProof/>
                <w:webHidden/>
              </w:rPr>
              <w:instrText xml:space="preserve"> PAGEREF _Toc529178369 \h </w:instrText>
            </w:r>
            <w:r w:rsidR="000D7D6E">
              <w:rPr>
                <w:noProof/>
                <w:webHidden/>
              </w:rPr>
            </w:r>
            <w:r w:rsidR="000D7D6E">
              <w:rPr>
                <w:noProof/>
                <w:webHidden/>
              </w:rPr>
              <w:fldChar w:fldCharType="separate"/>
            </w:r>
            <w:r w:rsidR="000D7D6E">
              <w:rPr>
                <w:noProof/>
                <w:webHidden/>
              </w:rPr>
              <w:t>66</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0" w:history="1">
            <w:r w:rsidR="000D7D6E" w:rsidRPr="00216E23">
              <w:rPr>
                <w:rStyle w:val="Hyperlink"/>
                <w:noProof/>
              </w:rPr>
              <w:t>INDICATOR 32: LOSS OF PUBLIC OPEN SPACE, OUTDOOR SPORTS AND RECREATION FACILITIES</w:t>
            </w:r>
            <w:r w:rsidR="000D7D6E">
              <w:rPr>
                <w:noProof/>
                <w:webHidden/>
              </w:rPr>
              <w:tab/>
            </w:r>
            <w:r w:rsidR="000D7D6E">
              <w:rPr>
                <w:noProof/>
                <w:webHidden/>
              </w:rPr>
              <w:fldChar w:fldCharType="begin"/>
            </w:r>
            <w:r w:rsidR="000D7D6E">
              <w:rPr>
                <w:noProof/>
                <w:webHidden/>
              </w:rPr>
              <w:instrText xml:space="preserve"> PAGEREF _Toc529178370 \h </w:instrText>
            </w:r>
            <w:r w:rsidR="000D7D6E">
              <w:rPr>
                <w:noProof/>
                <w:webHidden/>
              </w:rPr>
            </w:r>
            <w:r w:rsidR="000D7D6E">
              <w:rPr>
                <w:noProof/>
                <w:webHidden/>
              </w:rPr>
              <w:fldChar w:fldCharType="separate"/>
            </w:r>
            <w:r w:rsidR="000D7D6E">
              <w:rPr>
                <w:noProof/>
                <w:webHidden/>
              </w:rPr>
              <w:t>67</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1" w:history="1">
            <w:r w:rsidR="000D7D6E" w:rsidRPr="00216E23">
              <w:rPr>
                <w:rStyle w:val="Hyperlink"/>
                <w:noProof/>
              </w:rPr>
              <w:t>INDICATOR 33: TRAFFIC GROWTH AT INNER AND OUTER CORDONS</w:t>
            </w:r>
            <w:r w:rsidR="000D7D6E">
              <w:rPr>
                <w:noProof/>
                <w:webHidden/>
              </w:rPr>
              <w:tab/>
            </w:r>
            <w:r w:rsidR="000D7D6E">
              <w:rPr>
                <w:noProof/>
                <w:webHidden/>
              </w:rPr>
              <w:fldChar w:fldCharType="begin"/>
            </w:r>
            <w:r w:rsidR="000D7D6E">
              <w:rPr>
                <w:noProof/>
                <w:webHidden/>
              </w:rPr>
              <w:instrText xml:space="preserve"> PAGEREF _Toc529178371 \h </w:instrText>
            </w:r>
            <w:r w:rsidR="000D7D6E">
              <w:rPr>
                <w:noProof/>
                <w:webHidden/>
              </w:rPr>
            </w:r>
            <w:r w:rsidR="000D7D6E">
              <w:rPr>
                <w:noProof/>
                <w:webHidden/>
              </w:rPr>
              <w:fldChar w:fldCharType="separate"/>
            </w:r>
            <w:r w:rsidR="000D7D6E">
              <w:rPr>
                <w:noProof/>
                <w:webHidden/>
              </w:rPr>
              <w:t>67</w:t>
            </w:r>
            <w:r w:rsidR="000D7D6E">
              <w:rPr>
                <w:noProof/>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72" w:history="1">
            <w:r w:rsidR="000D7D6E" w:rsidRPr="00216E23">
              <w:rPr>
                <w:rStyle w:val="Hyperlink"/>
              </w:rPr>
              <w:t>An Efficient and Effective Council</w:t>
            </w:r>
            <w:r w:rsidR="000D7D6E">
              <w:rPr>
                <w:webHidden/>
              </w:rPr>
              <w:tab/>
            </w:r>
            <w:r w:rsidR="000D7D6E">
              <w:rPr>
                <w:webHidden/>
              </w:rPr>
              <w:fldChar w:fldCharType="begin"/>
            </w:r>
            <w:r w:rsidR="000D7D6E">
              <w:rPr>
                <w:webHidden/>
              </w:rPr>
              <w:instrText xml:space="preserve"> PAGEREF _Toc529178372 \h </w:instrText>
            </w:r>
            <w:r w:rsidR="000D7D6E">
              <w:rPr>
                <w:webHidden/>
              </w:rPr>
            </w:r>
            <w:r w:rsidR="000D7D6E">
              <w:rPr>
                <w:webHidden/>
              </w:rPr>
              <w:fldChar w:fldCharType="separate"/>
            </w:r>
            <w:r w:rsidR="000D7D6E">
              <w:rPr>
                <w:webHidden/>
              </w:rPr>
              <w:t>69</w:t>
            </w:r>
            <w:r w:rsidR="000D7D6E">
              <w:rPr>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3" w:history="1">
            <w:r w:rsidR="000D7D6E" w:rsidRPr="00216E23">
              <w:rPr>
                <w:rStyle w:val="Hyperlink"/>
                <w:b/>
                <w:noProof/>
                <w:lang w:eastAsia="en-GB"/>
              </w:rPr>
              <w:t>LOCAL DEVELOPMENT SCHEME MONITORING</w:t>
            </w:r>
            <w:r w:rsidR="000D7D6E">
              <w:rPr>
                <w:noProof/>
                <w:webHidden/>
              </w:rPr>
              <w:tab/>
            </w:r>
            <w:r w:rsidR="000D7D6E">
              <w:rPr>
                <w:noProof/>
                <w:webHidden/>
              </w:rPr>
              <w:fldChar w:fldCharType="begin"/>
            </w:r>
            <w:r w:rsidR="000D7D6E">
              <w:rPr>
                <w:noProof/>
                <w:webHidden/>
              </w:rPr>
              <w:instrText xml:space="preserve"> PAGEREF _Toc529178373 \h </w:instrText>
            </w:r>
            <w:r w:rsidR="000D7D6E">
              <w:rPr>
                <w:noProof/>
                <w:webHidden/>
              </w:rPr>
            </w:r>
            <w:r w:rsidR="000D7D6E">
              <w:rPr>
                <w:noProof/>
                <w:webHidden/>
              </w:rPr>
              <w:fldChar w:fldCharType="separate"/>
            </w:r>
            <w:r w:rsidR="000D7D6E">
              <w:rPr>
                <w:noProof/>
                <w:webHidden/>
              </w:rPr>
              <w:t>69</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4" w:history="1">
            <w:r w:rsidR="000D7D6E" w:rsidRPr="00216E23">
              <w:rPr>
                <w:rStyle w:val="Hyperlink"/>
                <w:b/>
                <w:noProof/>
                <w:lang w:eastAsia="en-GB"/>
              </w:rPr>
              <w:t>DUTY TO COOPERATE MONITORING</w:t>
            </w:r>
            <w:r w:rsidR="000D7D6E">
              <w:rPr>
                <w:noProof/>
                <w:webHidden/>
              </w:rPr>
              <w:tab/>
            </w:r>
            <w:r w:rsidR="000D7D6E">
              <w:rPr>
                <w:noProof/>
                <w:webHidden/>
              </w:rPr>
              <w:fldChar w:fldCharType="begin"/>
            </w:r>
            <w:r w:rsidR="000D7D6E">
              <w:rPr>
                <w:noProof/>
                <w:webHidden/>
              </w:rPr>
              <w:instrText xml:space="preserve"> PAGEREF _Toc529178374 \h </w:instrText>
            </w:r>
            <w:r w:rsidR="000D7D6E">
              <w:rPr>
                <w:noProof/>
                <w:webHidden/>
              </w:rPr>
            </w:r>
            <w:r w:rsidR="000D7D6E">
              <w:rPr>
                <w:noProof/>
                <w:webHidden/>
              </w:rPr>
              <w:fldChar w:fldCharType="separate"/>
            </w:r>
            <w:r w:rsidR="000D7D6E">
              <w:rPr>
                <w:noProof/>
                <w:webHidden/>
              </w:rPr>
              <w:t>69</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5" w:history="1">
            <w:r w:rsidR="000D7D6E" w:rsidRPr="00216E23">
              <w:rPr>
                <w:rStyle w:val="Hyperlink"/>
                <w:b/>
                <w:noProof/>
                <w:lang w:eastAsia="en-GB"/>
              </w:rPr>
              <w:t>NEIGHBOURHOOD PLAN MONITORING</w:t>
            </w:r>
            <w:r w:rsidR="000D7D6E">
              <w:rPr>
                <w:noProof/>
                <w:webHidden/>
              </w:rPr>
              <w:tab/>
            </w:r>
            <w:r w:rsidR="000D7D6E">
              <w:rPr>
                <w:noProof/>
                <w:webHidden/>
              </w:rPr>
              <w:fldChar w:fldCharType="begin"/>
            </w:r>
            <w:r w:rsidR="000D7D6E">
              <w:rPr>
                <w:noProof/>
                <w:webHidden/>
              </w:rPr>
              <w:instrText xml:space="preserve"> PAGEREF _Toc529178375 \h </w:instrText>
            </w:r>
            <w:r w:rsidR="000D7D6E">
              <w:rPr>
                <w:noProof/>
                <w:webHidden/>
              </w:rPr>
            </w:r>
            <w:r w:rsidR="000D7D6E">
              <w:rPr>
                <w:noProof/>
                <w:webHidden/>
              </w:rPr>
              <w:fldChar w:fldCharType="separate"/>
            </w:r>
            <w:r w:rsidR="000D7D6E">
              <w:rPr>
                <w:noProof/>
                <w:webHidden/>
              </w:rPr>
              <w:t>70</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6" w:history="1">
            <w:r w:rsidR="000D7D6E" w:rsidRPr="00216E23">
              <w:rPr>
                <w:rStyle w:val="Hyperlink"/>
                <w:b/>
                <w:noProof/>
                <w:lang w:eastAsia="en-GB"/>
              </w:rPr>
              <w:t>STATEMENT OF COMMUNITY INVOLVEMENT MONITORING</w:t>
            </w:r>
            <w:r w:rsidR="000D7D6E">
              <w:rPr>
                <w:noProof/>
                <w:webHidden/>
              </w:rPr>
              <w:tab/>
            </w:r>
            <w:r w:rsidR="000D7D6E">
              <w:rPr>
                <w:noProof/>
                <w:webHidden/>
              </w:rPr>
              <w:fldChar w:fldCharType="begin"/>
            </w:r>
            <w:r w:rsidR="000D7D6E">
              <w:rPr>
                <w:noProof/>
                <w:webHidden/>
              </w:rPr>
              <w:instrText xml:space="preserve"> PAGEREF _Toc529178376 \h </w:instrText>
            </w:r>
            <w:r w:rsidR="000D7D6E">
              <w:rPr>
                <w:noProof/>
                <w:webHidden/>
              </w:rPr>
            </w:r>
            <w:r w:rsidR="000D7D6E">
              <w:rPr>
                <w:noProof/>
                <w:webHidden/>
              </w:rPr>
              <w:fldChar w:fldCharType="separate"/>
            </w:r>
            <w:r w:rsidR="000D7D6E">
              <w:rPr>
                <w:noProof/>
                <w:webHidden/>
              </w:rPr>
              <w:t>70</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7" w:history="1">
            <w:r w:rsidR="000D7D6E" w:rsidRPr="00216E23">
              <w:rPr>
                <w:rStyle w:val="Hyperlink"/>
                <w:b/>
                <w:noProof/>
                <w:lang w:eastAsia="en-GB"/>
              </w:rPr>
              <w:t>COMMUNITY INFRASTRUCTURE LEVY MONITORING</w:t>
            </w:r>
            <w:r w:rsidR="000D7D6E">
              <w:rPr>
                <w:noProof/>
                <w:webHidden/>
              </w:rPr>
              <w:tab/>
            </w:r>
            <w:r w:rsidR="000D7D6E">
              <w:rPr>
                <w:noProof/>
                <w:webHidden/>
              </w:rPr>
              <w:fldChar w:fldCharType="begin"/>
            </w:r>
            <w:r w:rsidR="000D7D6E">
              <w:rPr>
                <w:noProof/>
                <w:webHidden/>
              </w:rPr>
              <w:instrText xml:space="preserve"> PAGEREF _Toc529178377 \h </w:instrText>
            </w:r>
            <w:r w:rsidR="000D7D6E">
              <w:rPr>
                <w:noProof/>
                <w:webHidden/>
              </w:rPr>
            </w:r>
            <w:r w:rsidR="000D7D6E">
              <w:rPr>
                <w:noProof/>
                <w:webHidden/>
              </w:rPr>
              <w:fldChar w:fldCharType="separate"/>
            </w:r>
            <w:r w:rsidR="000D7D6E">
              <w:rPr>
                <w:noProof/>
                <w:webHidden/>
              </w:rPr>
              <w:t>71</w:t>
            </w:r>
            <w:r w:rsidR="000D7D6E">
              <w:rPr>
                <w:noProof/>
                <w:webHidden/>
              </w:rPr>
              <w:fldChar w:fldCharType="end"/>
            </w:r>
          </w:hyperlink>
        </w:p>
        <w:p w:rsidR="000D7D6E" w:rsidRDefault="0086183F">
          <w:pPr>
            <w:pStyle w:val="TOC2"/>
            <w:tabs>
              <w:tab w:val="right" w:leader="dot" w:pos="9016"/>
            </w:tabs>
            <w:rPr>
              <w:rFonts w:eastAsiaTheme="minorEastAsia" w:cstheme="minorBidi"/>
              <w:i w:val="0"/>
              <w:iCs w:val="0"/>
              <w:noProof/>
              <w:sz w:val="22"/>
              <w:szCs w:val="22"/>
              <w:lang w:eastAsia="en-GB"/>
            </w:rPr>
          </w:pPr>
          <w:hyperlink w:anchor="_Toc529178378" w:history="1">
            <w:r w:rsidR="000D7D6E" w:rsidRPr="00216E23">
              <w:rPr>
                <w:rStyle w:val="Hyperlink"/>
                <w:b/>
                <w:noProof/>
                <w:lang w:eastAsia="en-GB"/>
              </w:rPr>
              <w:t>S106 AGREEMENT MONITORING</w:t>
            </w:r>
            <w:r w:rsidR="000D7D6E">
              <w:rPr>
                <w:noProof/>
                <w:webHidden/>
              </w:rPr>
              <w:tab/>
            </w:r>
            <w:r w:rsidR="000D7D6E">
              <w:rPr>
                <w:noProof/>
                <w:webHidden/>
              </w:rPr>
              <w:fldChar w:fldCharType="begin"/>
            </w:r>
            <w:r w:rsidR="000D7D6E">
              <w:rPr>
                <w:noProof/>
                <w:webHidden/>
              </w:rPr>
              <w:instrText xml:space="preserve"> PAGEREF _Toc529178378 \h </w:instrText>
            </w:r>
            <w:r w:rsidR="000D7D6E">
              <w:rPr>
                <w:noProof/>
                <w:webHidden/>
              </w:rPr>
            </w:r>
            <w:r w:rsidR="000D7D6E">
              <w:rPr>
                <w:noProof/>
                <w:webHidden/>
              </w:rPr>
              <w:fldChar w:fldCharType="separate"/>
            </w:r>
            <w:r w:rsidR="000D7D6E">
              <w:rPr>
                <w:noProof/>
                <w:webHidden/>
              </w:rPr>
              <w:t>73</w:t>
            </w:r>
            <w:r w:rsidR="000D7D6E">
              <w:rPr>
                <w:noProof/>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79" w:history="1">
            <w:r w:rsidR="000D7D6E" w:rsidRPr="00216E23">
              <w:rPr>
                <w:rStyle w:val="Hyperlink"/>
              </w:rPr>
              <w:t>Glossary</w:t>
            </w:r>
            <w:r w:rsidR="000D7D6E">
              <w:rPr>
                <w:webHidden/>
              </w:rPr>
              <w:tab/>
            </w:r>
            <w:r w:rsidR="000D7D6E">
              <w:rPr>
                <w:webHidden/>
              </w:rPr>
              <w:fldChar w:fldCharType="begin"/>
            </w:r>
            <w:r w:rsidR="000D7D6E">
              <w:rPr>
                <w:webHidden/>
              </w:rPr>
              <w:instrText xml:space="preserve"> PAGEREF _Toc529178379 \h </w:instrText>
            </w:r>
            <w:r w:rsidR="000D7D6E">
              <w:rPr>
                <w:webHidden/>
              </w:rPr>
            </w:r>
            <w:r w:rsidR="000D7D6E">
              <w:rPr>
                <w:webHidden/>
              </w:rPr>
              <w:fldChar w:fldCharType="separate"/>
            </w:r>
            <w:r w:rsidR="000D7D6E">
              <w:rPr>
                <w:webHidden/>
              </w:rPr>
              <w:t>74</w:t>
            </w:r>
            <w:r w:rsidR="000D7D6E">
              <w:rPr>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80" w:history="1">
            <w:r w:rsidR="000D7D6E" w:rsidRPr="00216E23">
              <w:rPr>
                <w:rStyle w:val="Hyperlink"/>
              </w:rPr>
              <w:t>Appendix A: Oxford’s planning policy documents</w:t>
            </w:r>
            <w:r w:rsidR="000D7D6E">
              <w:rPr>
                <w:webHidden/>
              </w:rPr>
              <w:tab/>
            </w:r>
            <w:r w:rsidR="000D7D6E">
              <w:rPr>
                <w:webHidden/>
              </w:rPr>
              <w:fldChar w:fldCharType="begin"/>
            </w:r>
            <w:r w:rsidR="000D7D6E">
              <w:rPr>
                <w:webHidden/>
              </w:rPr>
              <w:instrText xml:space="preserve"> PAGEREF _Toc529178380 \h </w:instrText>
            </w:r>
            <w:r w:rsidR="000D7D6E">
              <w:rPr>
                <w:webHidden/>
              </w:rPr>
            </w:r>
            <w:r w:rsidR="000D7D6E">
              <w:rPr>
                <w:webHidden/>
              </w:rPr>
              <w:fldChar w:fldCharType="separate"/>
            </w:r>
            <w:r w:rsidR="000D7D6E">
              <w:rPr>
                <w:webHidden/>
              </w:rPr>
              <w:t>76</w:t>
            </w:r>
            <w:r w:rsidR="000D7D6E">
              <w:rPr>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81" w:history="1">
            <w:r w:rsidR="000D7D6E" w:rsidRPr="00216E23">
              <w:rPr>
                <w:rStyle w:val="Hyperlink"/>
              </w:rPr>
              <w:t>Appendix B: How the AMR complies with statutory requirements</w:t>
            </w:r>
            <w:r w:rsidR="000D7D6E">
              <w:rPr>
                <w:webHidden/>
              </w:rPr>
              <w:tab/>
            </w:r>
            <w:r w:rsidR="000D7D6E">
              <w:rPr>
                <w:webHidden/>
              </w:rPr>
              <w:fldChar w:fldCharType="begin"/>
            </w:r>
            <w:r w:rsidR="000D7D6E">
              <w:rPr>
                <w:webHidden/>
              </w:rPr>
              <w:instrText xml:space="preserve"> PAGEREF _Toc529178381 \h </w:instrText>
            </w:r>
            <w:r w:rsidR="000D7D6E">
              <w:rPr>
                <w:webHidden/>
              </w:rPr>
            </w:r>
            <w:r w:rsidR="000D7D6E">
              <w:rPr>
                <w:webHidden/>
              </w:rPr>
              <w:fldChar w:fldCharType="separate"/>
            </w:r>
            <w:r w:rsidR="000D7D6E">
              <w:rPr>
                <w:webHidden/>
              </w:rPr>
              <w:t>77</w:t>
            </w:r>
            <w:r w:rsidR="000D7D6E">
              <w:rPr>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82" w:history="1">
            <w:r w:rsidR="000D7D6E" w:rsidRPr="00216E23">
              <w:rPr>
                <w:rStyle w:val="Hyperlink"/>
              </w:rPr>
              <w:t>Appendix C: How we monitor the implementation of policies in Oxford’s Local Plan</w:t>
            </w:r>
            <w:r w:rsidR="000D7D6E">
              <w:rPr>
                <w:webHidden/>
              </w:rPr>
              <w:tab/>
            </w:r>
            <w:r w:rsidR="000D7D6E">
              <w:rPr>
                <w:webHidden/>
              </w:rPr>
              <w:fldChar w:fldCharType="begin"/>
            </w:r>
            <w:r w:rsidR="000D7D6E">
              <w:rPr>
                <w:webHidden/>
              </w:rPr>
              <w:instrText xml:space="preserve"> PAGEREF _Toc529178382 \h </w:instrText>
            </w:r>
            <w:r w:rsidR="000D7D6E">
              <w:rPr>
                <w:webHidden/>
              </w:rPr>
            </w:r>
            <w:r w:rsidR="000D7D6E">
              <w:rPr>
                <w:webHidden/>
              </w:rPr>
              <w:fldChar w:fldCharType="separate"/>
            </w:r>
            <w:r w:rsidR="000D7D6E">
              <w:rPr>
                <w:webHidden/>
              </w:rPr>
              <w:t>79</w:t>
            </w:r>
            <w:r w:rsidR="000D7D6E">
              <w:rPr>
                <w:webHidden/>
              </w:rPr>
              <w:fldChar w:fldCharType="end"/>
            </w:r>
          </w:hyperlink>
        </w:p>
        <w:p w:rsidR="000D7D6E" w:rsidRDefault="0086183F">
          <w:pPr>
            <w:pStyle w:val="TOC1"/>
            <w:rPr>
              <w:rFonts w:eastAsiaTheme="minorEastAsia" w:cstheme="minorBidi"/>
              <w:b w:val="0"/>
              <w:bCs w:val="0"/>
              <w:sz w:val="22"/>
              <w:szCs w:val="22"/>
              <w:lang w:eastAsia="en-GB"/>
            </w:rPr>
          </w:pPr>
          <w:hyperlink w:anchor="_Toc529178383" w:history="1">
            <w:r w:rsidR="000D7D6E" w:rsidRPr="00216E23">
              <w:rPr>
                <w:rStyle w:val="Hyperlink"/>
              </w:rPr>
              <w:t>Appendix D: Core Strategy Sustainability Appraisal monitoring</w:t>
            </w:r>
            <w:r w:rsidR="000D7D6E">
              <w:rPr>
                <w:webHidden/>
              </w:rPr>
              <w:tab/>
            </w:r>
            <w:r w:rsidR="000D7D6E">
              <w:rPr>
                <w:webHidden/>
              </w:rPr>
              <w:fldChar w:fldCharType="begin"/>
            </w:r>
            <w:r w:rsidR="000D7D6E">
              <w:rPr>
                <w:webHidden/>
              </w:rPr>
              <w:instrText xml:space="preserve"> PAGEREF _Toc529178383 \h </w:instrText>
            </w:r>
            <w:r w:rsidR="000D7D6E">
              <w:rPr>
                <w:webHidden/>
              </w:rPr>
            </w:r>
            <w:r w:rsidR="000D7D6E">
              <w:rPr>
                <w:webHidden/>
              </w:rPr>
              <w:fldChar w:fldCharType="separate"/>
            </w:r>
            <w:r w:rsidR="000D7D6E">
              <w:rPr>
                <w:webHidden/>
              </w:rPr>
              <w:t>81</w:t>
            </w:r>
            <w:r w:rsidR="000D7D6E">
              <w:rPr>
                <w:webHidden/>
              </w:rPr>
              <w:fldChar w:fldCharType="end"/>
            </w:r>
          </w:hyperlink>
        </w:p>
        <w:p w:rsidR="00711DF0" w:rsidRDefault="001A40E8" w:rsidP="00711DF0">
          <w:pPr>
            <w:rPr>
              <w:rFonts w:asciiTheme="minorHAnsi" w:hAnsiTheme="minorHAnsi" w:cstheme="minorHAnsi"/>
              <w:b/>
              <w:bCs/>
              <w:noProof/>
            </w:rPr>
          </w:pPr>
          <w:r>
            <w:rPr>
              <w:rFonts w:asciiTheme="minorHAnsi" w:eastAsia="Calibri" w:hAnsiTheme="minorHAnsi" w:cstheme="minorHAnsi"/>
              <w:bCs/>
              <w:sz w:val="20"/>
              <w:szCs w:val="22"/>
            </w:rPr>
            <w:fldChar w:fldCharType="end"/>
          </w: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711DF0" w:rsidRDefault="00711DF0" w:rsidP="00711DF0">
          <w:pPr>
            <w:rPr>
              <w:rFonts w:asciiTheme="minorHAnsi" w:hAnsiTheme="minorHAnsi" w:cstheme="minorHAnsi"/>
              <w:b/>
              <w:bCs/>
              <w:noProof/>
            </w:rPr>
          </w:pPr>
        </w:p>
        <w:p w:rsidR="00F97D78" w:rsidRDefault="00F97D78" w:rsidP="00711DF0">
          <w:pPr>
            <w:rPr>
              <w:rFonts w:asciiTheme="minorHAnsi" w:hAnsiTheme="minorHAnsi" w:cstheme="minorHAnsi"/>
              <w:b/>
              <w:bCs/>
              <w:noProof/>
            </w:rPr>
          </w:pPr>
        </w:p>
        <w:p w:rsidR="00F97D78" w:rsidRDefault="00F97D78" w:rsidP="00711DF0">
          <w:pPr>
            <w:rPr>
              <w:rFonts w:asciiTheme="minorHAnsi" w:hAnsiTheme="minorHAnsi" w:cstheme="minorHAnsi"/>
              <w:b/>
              <w:bCs/>
              <w:noProof/>
            </w:rPr>
          </w:pPr>
        </w:p>
        <w:p w:rsidR="00F97D78" w:rsidRDefault="00F97D78" w:rsidP="00711DF0">
          <w:pPr>
            <w:rPr>
              <w:rFonts w:asciiTheme="minorHAnsi" w:hAnsiTheme="minorHAnsi" w:cstheme="minorHAnsi"/>
              <w:b/>
              <w:bCs/>
              <w:noProof/>
            </w:rPr>
          </w:pPr>
        </w:p>
        <w:p w:rsidR="00F97D78" w:rsidRDefault="00F97D78" w:rsidP="00711DF0">
          <w:pPr>
            <w:rPr>
              <w:rFonts w:asciiTheme="minorHAnsi" w:hAnsiTheme="minorHAnsi" w:cstheme="minorHAnsi"/>
              <w:b/>
              <w:bCs/>
              <w:noProof/>
            </w:rPr>
          </w:pPr>
        </w:p>
        <w:p w:rsidR="00711DF0" w:rsidRPr="00530292" w:rsidRDefault="0086183F" w:rsidP="00530292">
          <w:pPr>
            <w:rPr>
              <w:b/>
            </w:rPr>
          </w:pPr>
        </w:p>
      </w:sdtContent>
    </w:sdt>
    <w:p w:rsidR="00711DF0" w:rsidRPr="00CF6CF3" w:rsidRDefault="00711DF0" w:rsidP="00711DF0">
      <w:pPr>
        <w:pStyle w:val="Heading1"/>
        <w:rPr>
          <w:rFonts w:eastAsia="Times New Roman" w:cs="Times New Roman"/>
          <w:kern w:val="32"/>
          <w:szCs w:val="32"/>
          <w:lang w:val="x-none"/>
        </w:rPr>
      </w:pPr>
      <w:bookmarkStart w:id="0" w:name="_Toc529178331"/>
      <w:r w:rsidRPr="009641F9">
        <w:lastRenderedPageBreak/>
        <w:t>Introduction</w:t>
      </w:r>
      <w:bookmarkEnd w:id="0"/>
      <w:r w:rsidRPr="009641F9">
        <w:rPr>
          <w:sz w:val="28"/>
        </w:rPr>
        <w:t xml:space="preserve"> </w:t>
      </w:r>
    </w:p>
    <w:p w:rsidR="00711DF0" w:rsidRDefault="00711DF0" w:rsidP="00711DF0">
      <w:pPr>
        <w:keepNext/>
        <w:spacing w:line="276" w:lineRule="auto"/>
        <w:outlineLvl w:val="0"/>
        <w:rPr>
          <w:rFonts w:eastAsia="Times New Roman" w:cs="Times New Roman"/>
          <w:b/>
          <w:bCs/>
          <w:kern w:val="32"/>
        </w:rPr>
      </w:pPr>
    </w:p>
    <w:p w:rsidR="00711DF0" w:rsidRDefault="00711DF0" w:rsidP="00711DF0">
      <w:pPr>
        <w:pStyle w:val="Heading2"/>
        <w:spacing w:after="240"/>
      </w:pPr>
      <w:bookmarkStart w:id="1" w:name="_Toc529178332"/>
      <w:r>
        <w:t>Building a world-class city for everyone</w:t>
      </w:r>
      <w:bookmarkEnd w:id="1"/>
    </w:p>
    <w:p w:rsidR="00711DF0" w:rsidRPr="006C40DD"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 xml:space="preserve">The City Council’s ambition, developed with partners </w:t>
      </w:r>
      <w:r w:rsidRPr="00F74470">
        <w:rPr>
          <w:rFonts w:eastAsia="Calibri" w:cs="Calibri"/>
          <w:color w:val="000000"/>
          <w:szCs w:val="22"/>
        </w:rPr>
        <w:t>including local businesse</w:t>
      </w:r>
      <w:r>
        <w:rPr>
          <w:rFonts w:eastAsia="Calibri" w:cs="Calibri"/>
          <w:color w:val="000000"/>
          <w:szCs w:val="22"/>
        </w:rPr>
        <w:t>s, community organisations, the h</w:t>
      </w:r>
      <w:r w:rsidRPr="00F74470">
        <w:rPr>
          <w:rFonts w:eastAsia="Calibri" w:cs="Calibri"/>
          <w:color w:val="000000"/>
          <w:szCs w:val="22"/>
        </w:rPr>
        <w:t xml:space="preserve">ealth and education </w:t>
      </w:r>
      <w:r>
        <w:rPr>
          <w:rFonts w:eastAsia="Calibri" w:cs="Calibri"/>
          <w:color w:val="000000"/>
          <w:szCs w:val="22"/>
        </w:rPr>
        <w:t>sectors and the County Council, is</w:t>
      </w:r>
      <w:r w:rsidRPr="00F74470">
        <w:rPr>
          <w:rFonts w:eastAsia="Calibri" w:cs="Calibri"/>
          <w:color w:val="000000"/>
          <w:szCs w:val="22"/>
        </w:rPr>
        <w:t xml:space="preserve"> to make Oxford a world-class city for </w:t>
      </w:r>
      <w:r>
        <w:rPr>
          <w:rFonts w:eastAsia="Calibri" w:cs="Calibri"/>
          <w:color w:val="000000"/>
          <w:szCs w:val="22"/>
        </w:rPr>
        <w:t>everyone</w:t>
      </w:r>
      <w:r w:rsidRPr="00F74470">
        <w:rPr>
          <w:rFonts w:eastAsia="Calibri" w:cs="Calibri"/>
          <w:color w:val="000000"/>
          <w:szCs w:val="22"/>
        </w:rPr>
        <w:t>.</w:t>
      </w:r>
      <w:r>
        <w:rPr>
          <w:rFonts w:eastAsia="Calibri" w:cs="Calibri"/>
          <w:color w:val="000000"/>
          <w:szCs w:val="22"/>
        </w:rPr>
        <w:t xml:space="preserve"> </w:t>
      </w:r>
      <w:r w:rsidRPr="00F74470">
        <w:rPr>
          <w:rFonts w:eastAsia="Calibri" w:cs="Calibri"/>
          <w:color w:val="000000"/>
          <w:szCs w:val="22"/>
        </w:rPr>
        <w:t xml:space="preserve">Planning plays a key role in helping to </w:t>
      </w:r>
      <w:r>
        <w:rPr>
          <w:rFonts w:eastAsia="Calibri" w:cs="Calibri"/>
          <w:color w:val="000000"/>
          <w:szCs w:val="22"/>
        </w:rPr>
        <w:t>deliver this, by encouraging and facilitating</w:t>
      </w:r>
      <w:r w:rsidRPr="00F74470">
        <w:rPr>
          <w:rFonts w:eastAsia="Calibri" w:cs="Calibri"/>
          <w:color w:val="000000"/>
          <w:szCs w:val="22"/>
        </w:rPr>
        <w:t xml:space="preserve"> positive improvements in the quality of Oxford’s</w:t>
      </w:r>
      <w:r>
        <w:rPr>
          <w:rFonts w:eastAsia="Calibri" w:cs="Calibri"/>
          <w:color w:val="000000"/>
          <w:szCs w:val="22"/>
        </w:rPr>
        <w:t xml:space="preserve"> built and natural</w:t>
      </w:r>
      <w:r w:rsidRPr="00F74470">
        <w:rPr>
          <w:rFonts w:eastAsia="Calibri" w:cs="Calibri"/>
          <w:color w:val="000000"/>
          <w:szCs w:val="22"/>
        </w:rPr>
        <w:t xml:space="preserve"> environments. Planning</w:t>
      </w:r>
      <w:r>
        <w:rPr>
          <w:rFonts w:eastAsia="Calibri" w:cs="Calibri"/>
          <w:color w:val="000000"/>
          <w:szCs w:val="22"/>
        </w:rPr>
        <w:t xml:space="preserve"> is</w:t>
      </w:r>
      <w:r w:rsidRPr="00F74470">
        <w:rPr>
          <w:rFonts w:eastAsia="Calibri" w:cs="Calibri"/>
          <w:color w:val="000000"/>
          <w:szCs w:val="22"/>
        </w:rPr>
        <w:t xml:space="preserve"> essential</w:t>
      </w:r>
      <w:r>
        <w:rPr>
          <w:rFonts w:eastAsia="Calibri" w:cs="Calibri"/>
          <w:color w:val="000000"/>
          <w:szCs w:val="22"/>
        </w:rPr>
        <w:t xml:space="preserve"> in ensuring that</w:t>
      </w:r>
      <w:r w:rsidRPr="00F74470">
        <w:rPr>
          <w:rFonts w:eastAsia="Calibri" w:cs="Calibri"/>
          <w:color w:val="000000"/>
          <w:szCs w:val="22"/>
        </w:rPr>
        <w:t xml:space="preserve"> Oxford has the homes, jobs and infrastructure necessary to make this vision a reality.</w:t>
      </w:r>
      <w:r>
        <w:rPr>
          <w:rFonts w:eastAsia="Calibri" w:cs="Calibri"/>
          <w:color w:val="000000"/>
          <w:szCs w:val="22"/>
        </w:rPr>
        <w:t xml:space="preserve"> </w:t>
      </w:r>
      <w:r w:rsidRPr="006C40DD">
        <w:rPr>
          <w:rFonts w:eastAsia="Calibri" w:cs="Calibri"/>
          <w:color w:val="000000"/>
          <w:szCs w:val="22"/>
        </w:rPr>
        <w:t>The Annual Monitoring Report (AMR) reviews how effective our planning policies and processes are in helping to achieve this vision.</w:t>
      </w:r>
    </w:p>
    <w:p w:rsidR="00711DF0"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R</w:t>
      </w:r>
      <w:r w:rsidRPr="00C37911">
        <w:rPr>
          <w:rFonts w:eastAsia="Calibri" w:cs="Calibri"/>
          <w:color w:val="000000"/>
          <w:szCs w:val="22"/>
        </w:rPr>
        <w:t>egularly review</w:t>
      </w:r>
      <w:r>
        <w:rPr>
          <w:rFonts w:eastAsia="Calibri" w:cs="Calibri"/>
          <w:color w:val="000000"/>
          <w:szCs w:val="22"/>
        </w:rPr>
        <w:t>ing</w:t>
      </w:r>
      <w:r w:rsidRPr="00C37911">
        <w:rPr>
          <w:rFonts w:eastAsia="Calibri" w:cs="Calibri"/>
          <w:color w:val="000000"/>
          <w:szCs w:val="22"/>
        </w:rPr>
        <w:t xml:space="preserve"> the effectiveness of</w:t>
      </w:r>
      <w:r>
        <w:rPr>
          <w:rFonts w:eastAsia="Calibri" w:cs="Calibri"/>
          <w:color w:val="000000"/>
          <w:szCs w:val="22"/>
        </w:rPr>
        <w:t xml:space="preserve"> Oxford’s planning </w:t>
      </w:r>
      <w:r w:rsidRPr="00C37911">
        <w:rPr>
          <w:rFonts w:eastAsia="Calibri" w:cs="Calibri"/>
          <w:color w:val="000000"/>
          <w:szCs w:val="22"/>
        </w:rPr>
        <w:t>po</w:t>
      </w:r>
      <w:r>
        <w:rPr>
          <w:rFonts w:eastAsia="Calibri" w:cs="Calibri"/>
          <w:color w:val="000000"/>
          <w:szCs w:val="22"/>
        </w:rPr>
        <w:t>licies (Appendix A) helps to</w:t>
      </w:r>
      <w:r w:rsidRPr="00C37911">
        <w:rPr>
          <w:rFonts w:eastAsia="Calibri" w:cs="Calibri"/>
          <w:color w:val="000000"/>
          <w:szCs w:val="22"/>
        </w:rPr>
        <w:t xml:space="preserve"> ensure that progress is </w:t>
      </w:r>
      <w:r>
        <w:rPr>
          <w:rFonts w:eastAsia="Calibri" w:cs="Calibri"/>
          <w:color w:val="000000"/>
          <w:szCs w:val="22"/>
        </w:rPr>
        <w:t>being made towards achieving objectives</w:t>
      </w:r>
      <w:r w:rsidRPr="00C37911">
        <w:rPr>
          <w:rFonts w:eastAsia="Calibri" w:cs="Calibri"/>
          <w:color w:val="000000"/>
          <w:szCs w:val="22"/>
        </w:rPr>
        <w:t>. Monitoring also helps to identify when policies may need adjusting or replacing if t</w:t>
      </w:r>
      <w:r>
        <w:rPr>
          <w:rFonts w:eastAsia="Calibri" w:cs="Calibri"/>
          <w:color w:val="000000"/>
          <w:szCs w:val="22"/>
        </w:rPr>
        <w:t>hey are not working as intended or if wider social, economic or environmental conditions change. The City Council also has a legal duty to monitor certain aspects of planning performance (Appendix B).</w:t>
      </w:r>
    </w:p>
    <w:p w:rsidR="00711DF0" w:rsidRPr="00B042CB"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This is Oxford’s thirteenth AMR. It monitors the implementation of policies in the Core Strategy 2026 and the Sites and Housing Plan 2011-2026 (Appendix C). Performance against Core Strategy Sustainability Appraisal targets is also assessed (Appendix D).</w:t>
      </w:r>
    </w:p>
    <w:p w:rsidR="00711DF0" w:rsidRPr="002B7BBC" w:rsidRDefault="00711DF0" w:rsidP="00711DF0">
      <w:pPr>
        <w:pStyle w:val="ListParagraph"/>
        <w:numPr>
          <w:ilvl w:val="1"/>
          <w:numId w:val="1"/>
        </w:numPr>
        <w:spacing w:line="276" w:lineRule="auto"/>
        <w:ind w:left="567" w:hanging="567"/>
        <w:contextualSpacing w:val="0"/>
        <w:jc w:val="both"/>
        <w:rPr>
          <w:rFonts w:eastAsia="Calibri" w:cs="Calibri"/>
          <w:color w:val="000000"/>
          <w:szCs w:val="22"/>
        </w:rPr>
      </w:pPr>
      <w:r>
        <w:rPr>
          <w:rFonts w:eastAsia="Calibri" w:cs="Calibri"/>
          <w:color w:val="000000"/>
          <w:szCs w:val="22"/>
        </w:rPr>
        <w:t xml:space="preserve">The AMR is based on the City Council’s five corporate priorities as set out in the Corporate Plan: </w:t>
      </w:r>
      <w:r w:rsidRPr="002B7BBC">
        <w:rPr>
          <w:rFonts w:eastAsia="Calibri" w:cs="Calibri"/>
          <w:color w:val="000000"/>
          <w:szCs w:val="22"/>
        </w:rPr>
        <w:t>A Vibrant and Sustainable Economy</w:t>
      </w:r>
      <w:r>
        <w:rPr>
          <w:rFonts w:eastAsia="Calibri" w:cs="Calibri"/>
          <w:color w:val="000000"/>
          <w:szCs w:val="22"/>
        </w:rPr>
        <w:t xml:space="preserve">; </w:t>
      </w:r>
      <w:r w:rsidRPr="002B7BBC">
        <w:rPr>
          <w:rFonts w:eastAsia="Calibri" w:cs="Calibri"/>
          <w:color w:val="000000"/>
          <w:szCs w:val="22"/>
        </w:rPr>
        <w:t>Meeting Housing Needs</w:t>
      </w:r>
      <w:r>
        <w:rPr>
          <w:rFonts w:eastAsia="Calibri" w:cs="Calibri"/>
          <w:color w:val="000000"/>
          <w:szCs w:val="22"/>
        </w:rPr>
        <w:t xml:space="preserve">; </w:t>
      </w:r>
      <w:r w:rsidRPr="002B7BBC">
        <w:rPr>
          <w:rFonts w:eastAsia="Calibri" w:cs="Calibri"/>
          <w:color w:val="000000"/>
          <w:szCs w:val="22"/>
        </w:rPr>
        <w:t>Strong and Active Communities</w:t>
      </w:r>
      <w:r>
        <w:rPr>
          <w:rFonts w:eastAsia="Calibri" w:cs="Calibri"/>
          <w:color w:val="000000"/>
          <w:szCs w:val="22"/>
        </w:rPr>
        <w:t xml:space="preserve">; </w:t>
      </w:r>
      <w:r w:rsidRPr="002B7BBC">
        <w:rPr>
          <w:rFonts w:eastAsia="Calibri" w:cs="Calibri"/>
          <w:color w:val="000000"/>
          <w:szCs w:val="22"/>
        </w:rPr>
        <w:t>A Clean and Green Oxford</w:t>
      </w:r>
      <w:r>
        <w:rPr>
          <w:rFonts w:eastAsia="Calibri" w:cs="Calibri"/>
          <w:color w:val="000000"/>
          <w:szCs w:val="22"/>
        </w:rPr>
        <w:t xml:space="preserve">; and </w:t>
      </w:r>
      <w:r w:rsidRPr="002B7BBC">
        <w:rPr>
          <w:rFonts w:eastAsia="Calibri" w:cs="Calibri"/>
          <w:color w:val="000000"/>
          <w:szCs w:val="22"/>
        </w:rPr>
        <w:t>An Efficient and Effective Council</w:t>
      </w:r>
      <w:r>
        <w:rPr>
          <w:rFonts w:eastAsia="Calibri" w:cs="Calibri"/>
          <w:color w:val="000000"/>
          <w:szCs w:val="22"/>
        </w:rPr>
        <w:t>.</w:t>
      </w:r>
    </w:p>
    <w:p w:rsidR="00711DF0" w:rsidRPr="002B7BBC" w:rsidRDefault="00711DF0" w:rsidP="00711DF0">
      <w:pPr>
        <w:pStyle w:val="Heading2"/>
        <w:spacing w:after="240"/>
        <w:rPr>
          <w:rStyle w:val="Heading2Char"/>
          <w:b/>
          <w:sz w:val="12"/>
        </w:rPr>
      </w:pPr>
    </w:p>
    <w:p w:rsidR="00711DF0" w:rsidRPr="00172E4B" w:rsidRDefault="00711DF0" w:rsidP="00711DF0">
      <w:pPr>
        <w:pStyle w:val="Heading2"/>
        <w:spacing w:after="240"/>
      </w:pPr>
      <w:bookmarkStart w:id="2" w:name="_Toc529178333"/>
      <w:r>
        <w:rPr>
          <w:rStyle w:val="Heading2Char"/>
        </w:rPr>
        <w:t>How performance is assessed</w:t>
      </w:r>
      <w:bookmarkEnd w:id="2"/>
    </w:p>
    <w:p w:rsidR="00711DF0" w:rsidRPr="00C37911" w:rsidRDefault="00711DF0" w:rsidP="00711DF0">
      <w:pPr>
        <w:pStyle w:val="ListParagraph"/>
        <w:numPr>
          <w:ilvl w:val="1"/>
          <w:numId w:val="1"/>
        </w:numPr>
        <w:spacing w:after="240" w:line="276" w:lineRule="auto"/>
        <w:ind w:left="567" w:hanging="567"/>
        <w:contextualSpacing w:val="0"/>
        <w:jc w:val="both"/>
        <w:rPr>
          <w:rFonts w:eastAsia="Calibri" w:cs="Calibri"/>
          <w:color w:val="000000"/>
          <w:szCs w:val="22"/>
        </w:rPr>
      </w:pPr>
      <w:r>
        <w:rPr>
          <w:rFonts w:eastAsia="Calibri" w:cs="Calibri"/>
          <w:color w:val="000000"/>
          <w:szCs w:val="22"/>
        </w:rPr>
        <w:t>Throughout the AMR traffic light symbols are used to summarise performance in relation to targets and to highlight where action may need to be taken:</w:t>
      </w:r>
      <w:r w:rsidRPr="001D5F39">
        <w:rPr>
          <w:rFonts w:cs="Calibri"/>
          <w:b/>
          <w:noProof/>
          <w:lang w:eastAsia="en-G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229"/>
      </w:tblGrid>
      <w:tr w:rsidR="00711DF0" w:rsidRPr="00D46B36" w:rsidTr="00126779">
        <w:tc>
          <w:tcPr>
            <w:tcW w:w="1591" w:type="dxa"/>
            <w:shd w:val="clear" w:color="auto" w:fill="auto"/>
          </w:tcPr>
          <w:p w:rsidR="00711DF0" w:rsidRDefault="00711DF0" w:rsidP="00126779">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2F7BD861" wp14:editId="3D28BE02">
                  <wp:extent cx="819150" cy="256182"/>
                  <wp:effectExtent l="0" t="0" r="0" b="0"/>
                  <wp:docPr id="1" name="Picture 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11DF0" w:rsidRDefault="00711DF0" w:rsidP="00126779">
            <w:pPr>
              <w:pStyle w:val="ListParagraph"/>
              <w:autoSpaceDE w:val="0"/>
              <w:autoSpaceDN w:val="0"/>
              <w:adjustRightInd w:val="0"/>
              <w:ind w:left="0"/>
              <w:rPr>
                <w:rFonts w:eastAsia="Calibri" w:cs="Calibri"/>
                <w:color w:val="000000"/>
                <w:szCs w:val="22"/>
              </w:rPr>
            </w:pPr>
          </w:p>
          <w:p w:rsidR="00711DF0" w:rsidRPr="006678E8" w:rsidRDefault="00711DF0" w:rsidP="00126779">
            <w:pPr>
              <w:pStyle w:val="ListParagraph"/>
              <w:autoSpaceDE w:val="0"/>
              <w:autoSpaceDN w:val="0"/>
              <w:adjustRightInd w:val="0"/>
              <w:ind w:left="0"/>
              <w:rPr>
                <w:rFonts w:eastAsia="Calibri" w:cs="Calibri"/>
                <w:color w:val="000000"/>
                <w:sz w:val="12"/>
                <w:szCs w:val="12"/>
              </w:rPr>
            </w:pPr>
          </w:p>
        </w:tc>
        <w:tc>
          <w:tcPr>
            <w:tcW w:w="7229" w:type="dxa"/>
            <w:shd w:val="clear" w:color="auto" w:fill="auto"/>
          </w:tcPr>
          <w:p w:rsidR="00711DF0" w:rsidRPr="00D46B36" w:rsidRDefault="00711DF0" w:rsidP="00126779">
            <w:pPr>
              <w:rPr>
                <w:rFonts w:eastAsia="Calibri" w:cs="Times New Roman"/>
                <w:szCs w:val="22"/>
              </w:rPr>
            </w:pPr>
            <w:r w:rsidRPr="00D46B36">
              <w:rPr>
                <w:rFonts w:eastAsia="Calibri" w:cs="Times New Roman"/>
                <w:color w:val="008A3E"/>
                <w:szCs w:val="22"/>
              </w:rPr>
              <w:t xml:space="preserve">Explanation: </w:t>
            </w:r>
            <w:r w:rsidRPr="00D46B36">
              <w:rPr>
                <w:rFonts w:eastAsia="Calibri" w:cs="Times New Roman"/>
                <w:szCs w:val="22"/>
              </w:rPr>
              <w:t xml:space="preserve"> Targe</w:t>
            </w:r>
            <w:r>
              <w:rPr>
                <w:rFonts w:eastAsia="Calibri" w:cs="Times New Roman"/>
                <w:szCs w:val="22"/>
              </w:rPr>
              <w:t>ts and objectives have been met</w:t>
            </w:r>
            <w:r w:rsidRPr="00D46B36">
              <w:rPr>
                <w:rFonts w:eastAsia="Calibri" w:cs="Times New Roman"/>
                <w:szCs w:val="22"/>
              </w:rPr>
              <w:t xml:space="preserve"> or data indicates good progress towards meeting them.</w:t>
            </w:r>
          </w:p>
          <w:p w:rsidR="00711DF0" w:rsidRPr="002C5401" w:rsidRDefault="00711DF0" w:rsidP="00126779">
            <w:pPr>
              <w:rPr>
                <w:rFonts w:eastAsia="Calibri" w:cs="Times New Roman"/>
                <w:sz w:val="8"/>
                <w:szCs w:val="8"/>
              </w:rPr>
            </w:pPr>
          </w:p>
          <w:p w:rsidR="00711DF0" w:rsidRDefault="00711DF0" w:rsidP="00126779">
            <w:pPr>
              <w:rPr>
                <w:rFonts w:eastAsia="Calibri" w:cs="Times New Roman"/>
                <w:szCs w:val="22"/>
              </w:rPr>
            </w:pPr>
            <w:r w:rsidRPr="00D46B36">
              <w:rPr>
                <w:rFonts w:eastAsia="Calibri" w:cs="Times New Roman"/>
                <w:color w:val="008A3E"/>
                <w:szCs w:val="22"/>
              </w:rPr>
              <w:t xml:space="preserve">Action: </w:t>
            </w:r>
            <w:r>
              <w:rPr>
                <w:rFonts w:eastAsia="Calibri" w:cs="Times New Roman"/>
                <w:szCs w:val="22"/>
              </w:rPr>
              <w:t xml:space="preserve"> Continue policy implementation as normal. </w:t>
            </w:r>
          </w:p>
          <w:p w:rsidR="00711DF0" w:rsidRPr="009751D4" w:rsidRDefault="00711DF0" w:rsidP="00126779">
            <w:pPr>
              <w:rPr>
                <w:rFonts w:eastAsia="Calibri" w:cs="Times New Roman"/>
                <w:szCs w:val="22"/>
              </w:rPr>
            </w:pPr>
          </w:p>
        </w:tc>
      </w:tr>
      <w:tr w:rsidR="00711DF0" w:rsidRPr="002C5401" w:rsidTr="00126779">
        <w:tc>
          <w:tcPr>
            <w:tcW w:w="1591" w:type="dxa"/>
            <w:shd w:val="clear" w:color="auto" w:fill="auto"/>
          </w:tcPr>
          <w:p w:rsidR="00711DF0" w:rsidRDefault="00711DF0" w:rsidP="00126779">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5F0E291E" wp14:editId="3D4C4E4C">
                  <wp:extent cx="819509" cy="255580"/>
                  <wp:effectExtent l="0" t="0" r="0" b="0"/>
                  <wp:docPr id="2" name="Picture 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c>
          <w:tcPr>
            <w:tcW w:w="7229" w:type="dxa"/>
            <w:shd w:val="clear" w:color="auto" w:fill="auto"/>
          </w:tcPr>
          <w:p w:rsidR="00711DF0" w:rsidRPr="00D46B36" w:rsidRDefault="00711DF0" w:rsidP="00126779">
            <w:pPr>
              <w:pStyle w:val="ListParagraph"/>
              <w:autoSpaceDE w:val="0"/>
              <w:autoSpaceDN w:val="0"/>
              <w:adjustRightInd w:val="0"/>
              <w:ind w:left="0"/>
              <w:jc w:val="both"/>
              <w:rPr>
                <w:rFonts w:eastAsia="Calibri" w:cs="Calibri"/>
                <w:color w:val="000000"/>
                <w:szCs w:val="22"/>
              </w:rPr>
            </w:pPr>
            <w:r w:rsidRPr="002C5401">
              <w:rPr>
                <w:rFonts w:eastAsia="Calibri" w:cs="Calibri"/>
                <w:color w:val="E36C0A" w:themeColor="accent6" w:themeShade="BF"/>
                <w:szCs w:val="22"/>
              </w:rPr>
              <w:t xml:space="preserve">Explanation: </w:t>
            </w:r>
            <w:r>
              <w:rPr>
                <w:rFonts w:eastAsia="Calibri" w:cs="Calibri"/>
                <w:color w:val="000000"/>
                <w:szCs w:val="22"/>
              </w:rPr>
              <w:t>Limited progress</w:t>
            </w:r>
            <w:r w:rsidRPr="00D46B36">
              <w:rPr>
                <w:rFonts w:eastAsia="Calibri" w:cs="Calibri"/>
                <w:color w:val="000000"/>
                <w:szCs w:val="22"/>
              </w:rPr>
              <w:t xml:space="preserve"> towards meeting target</w:t>
            </w:r>
            <w:r>
              <w:rPr>
                <w:rFonts w:eastAsia="Calibri" w:cs="Calibri"/>
                <w:color w:val="000000"/>
                <w:szCs w:val="22"/>
              </w:rPr>
              <w:t>s</w:t>
            </w:r>
            <w:r w:rsidRPr="00D46B36">
              <w:rPr>
                <w:rFonts w:eastAsia="Calibri" w:cs="Calibri"/>
                <w:color w:val="000000"/>
                <w:szCs w:val="22"/>
              </w:rPr>
              <w:t xml:space="preserve"> or where there is insufficient information to make an assessment. </w:t>
            </w:r>
          </w:p>
          <w:p w:rsidR="00711DF0" w:rsidRPr="002C5401" w:rsidRDefault="00711DF0" w:rsidP="00126779">
            <w:pPr>
              <w:pStyle w:val="ListParagraph"/>
              <w:autoSpaceDE w:val="0"/>
              <w:autoSpaceDN w:val="0"/>
              <w:adjustRightInd w:val="0"/>
              <w:ind w:left="0"/>
              <w:jc w:val="both"/>
              <w:rPr>
                <w:rFonts w:eastAsia="Calibri" w:cs="Calibri"/>
                <w:color w:val="000000"/>
                <w:sz w:val="8"/>
                <w:szCs w:val="8"/>
              </w:rPr>
            </w:pPr>
          </w:p>
          <w:p w:rsidR="00711DF0" w:rsidRDefault="00711DF0" w:rsidP="00126779">
            <w:pPr>
              <w:pStyle w:val="ListParagraph"/>
              <w:autoSpaceDE w:val="0"/>
              <w:autoSpaceDN w:val="0"/>
              <w:adjustRightInd w:val="0"/>
              <w:ind w:left="0"/>
              <w:rPr>
                <w:rFonts w:eastAsia="Calibri" w:cs="Calibri"/>
                <w:color w:val="000000"/>
                <w:szCs w:val="22"/>
              </w:rPr>
            </w:pPr>
            <w:r w:rsidRPr="002C5401">
              <w:rPr>
                <w:rFonts w:eastAsia="Calibri" w:cs="Calibri"/>
                <w:color w:val="E36C0A" w:themeColor="accent6" w:themeShade="BF"/>
                <w:szCs w:val="22"/>
              </w:rPr>
              <w:t xml:space="preserve">Action: </w:t>
            </w:r>
            <w:r w:rsidRPr="00D46B36">
              <w:rPr>
                <w:rFonts w:eastAsia="Calibri" w:cs="Calibri"/>
                <w:color w:val="000000"/>
                <w:szCs w:val="22"/>
              </w:rPr>
              <w:t xml:space="preserve">The policy requires close attention </w:t>
            </w:r>
            <w:r>
              <w:rPr>
                <w:rFonts w:eastAsia="Calibri" w:cs="Calibri"/>
                <w:color w:val="000000"/>
                <w:szCs w:val="22"/>
              </w:rPr>
              <w:t>in the next monitoring year.</w:t>
            </w:r>
          </w:p>
          <w:p w:rsidR="00711DF0" w:rsidRPr="002C5401" w:rsidRDefault="00711DF0" w:rsidP="00126779">
            <w:pPr>
              <w:pStyle w:val="ListParagraph"/>
              <w:autoSpaceDE w:val="0"/>
              <w:autoSpaceDN w:val="0"/>
              <w:adjustRightInd w:val="0"/>
              <w:ind w:left="0"/>
              <w:rPr>
                <w:rFonts w:eastAsia="Calibri" w:cs="Calibri"/>
                <w:color w:val="000000"/>
                <w:szCs w:val="22"/>
              </w:rPr>
            </w:pPr>
          </w:p>
        </w:tc>
      </w:tr>
      <w:tr w:rsidR="00711DF0" w:rsidRPr="00D46B36" w:rsidTr="00126779">
        <w:trPr>
          <w:trHeight w:val="80"/>
        </w:trPr>
        <w:tc>
          <w:tcPr>
            <w:tcW w:w="1591" w:type="dxa"/>
            <w:shd w:val="clear" w:color="auto" w:fill="auto"/>
          </w:tcPr>
          <w:p w:rsidR="00711DF0" w:rsidRDefault="00711DF0" w:rsidP="00126779">
            <w:pPr>
              <w:pStyle w:val="ListParagraph"/>
              <w:autoSpaceDE w:val="0"/>
              <w:autoSpaceDN w:val="0"/>
              <w:adjustRightInd w:val="0"/>
              <w:ind w:left="0"/>
              <w:jc w:val="center"/>
              <w:rPr>
                <w:rFonts w:eastAsia="Calibri" w:cs="Calibri"/>
                <w:color w:val="000000"/>
                <w:szCs w:val="22"/>
              </w:rPr>
            </w:pPr>
            <w:r>
              <w:rPr>
                <w:noProof/>
                <w:lang w:eastAsia="en-GB"/>
              </w:rPr>
              <w:drawing>
                <wp:inline distT="0" distB="0" distL="0" distR="0" wp14:anchorId="336490C1" wp14:editId="3411F91B">
                  <wp:extent cx="819150" cy="256297"/>
                  <wp:effectExtent l="0" t="0" r="0" b="0"/>
                  <wp:docPr id="3" name="Picture 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c>
          <w:tcPr>
            <w:tcW w:w="7229" w:type="dxa"/>
            <w:shd w:val="clear" w:color="auto" w:fill="auto"/>
          </w:tcPr>
          <w:p w:rsidR="00711DF0" w:rsidRPr="00D46B36" w:rsidRDefault="00711DF0" w:rsidP="00126779">
            <w:pPr>
              <w:autoSpaceDE w:val="0"/>
              <w:autoSpaceDN w:val="0"/>
              <w:adjustRightInd w:val="0"/>
              <w:jc w:val="both"/>
              <w:rPr>
                <w:rFonts w:eastAsia="Calibri" w:cs="Calibri"/>
                <w:color w:val="000000"/>
                <w:szCs w:val="22"/>
              </w:rPr>
            </w:pPr>
            <w:r w:rsidRPr="00D46B36">
              <w:rPr>
                <w:rFonts w:eastAsia="Calibri" w:cs="Calibri"/>
                <w:color w:val="FF3300"/>
                <w:szCs w:val="22"/>
              </w:rPr>
              <w:t xml:space="preserve">Explanation:  </w:t>
            </w:r>
            <w:r w:rsidRPr="00D46B36">
              <w:rPr>
                <w:rFonts w:eastAsia="Calibri" w:cs="Calibri"/>
                <w:color w:val="000000"/>
                <w:szCs w:val="22"/>
              </w:rPr>
              <w:t>Data indicates under-performance against targets</w:t>
            </w:r>
            <w:r>
              <w:rPr>
                <w:rFonts w:eastAsia="Calibri" w:cs="Calibri"/>
                <w:color w:val="000000"/>
                <w:szCs w:val="22"/>
              </w:rPr>
              <w:t>.</w:t>
            </w:r>
          </w:p>
          <w:p w:rsidR="00711DF0" w:rsidRPr="002C5401" w:rsidRDefault="00711DF0" w:rsidP="00126779">
            <w:pPr>
              <w:pStyle w:val="ListParagraph"/>
              <w:autoSpaceDE w:val="0"/>
              <w:autoSpaceDN w:val="0"/>
              <w:adjustRightInd w:val="0"/>
              <w:ind w:left="0"/>
              <w:jc w:val="both"/>
              <w:rPr>
                <w:rFonts w:eastAsia="Calibri" w:cs="Calibri"/>
                <w:color w:val="000000"/>
                <w:sz w:val="8"/>
                <w:szCs w:val="8"/>
              </w:rPr>
            </w:pPr>
          </w:p>
          <w:p w:rsidR="00711DF0" w:rsidRPr="00D46B36" w:rsidRDefault="00711DF0" w:rsidP="00126779">
            <w:pPr>
              <w:pStyle w:val="ListParagraph"/>
              <w:autoSpaceDE w:val="0"/>
              <w:autoSpaceDN w:val="0"/>
              <w:adjustRightInd w:val="0"/>
              <w:ind w:left="0"/>
              <w:jc w:val="both"/>
              <w:rPr>
                <w:rFonts w:eastAsia="Calibri" w:cs="Calibri"/>
                <w:color w:val="000000"/>
                <w:szCs w:val="22"/>
              </w:rPr>
            </w:pPr>
            <w:r w:rsidRPr="00D46B36">
              <w:rPr>
                <w:rFonts w:eastAsia="Calibri" w:cs="Calibri"/>
                <w:color w:val="FF3300"/>
                <w:szCs w:val="22"/>
              </w:rPr>
              <w:t xml:space="preserve">Action:  </w:t>
            </w:r>
            <w:r w:rsidRPr="00D46B36">
              <w:rPr>
                <w:rFonts w:eastAsia="Calibri" w:cs="Calibri"/>
                <w:color w:val="000000"/>
                <w:szCs w:val="22"/>
              </w:rPr>
              <w:t xml:space="preserve">Monitor the policy closely during the following monitoring year. Consecutive red scores may indicate </w:t>
            </w:r>
            <w:r>
              <w:rPr>
                <w:rFonts w:eastAsia="Calibri" w:cs="Calibri"/>
                <w:color w:val="000000"/>
                <w:szCs w:val="22"/>
              </w:rPr>
              <w:t>that policies require adjusting or replacing</w:t>
            </w:r>
            <w:r w:rsidRPr="00D46B36">
              <w:rPr>
                <w:rFonts w:eastAsia="Calibri" w:cs="Calibri"/>
                <w:color w:val="000000"/>
                <w:szCs w:val="22"/>
              </w:rPr>
              <w:t xml:space="preserve"> because they are not working as intended or are no longer relevant.</w:t>
            </w:r>
          </w:p>
        </w:tc>
      </w:tr>
    </w:tbl>
    <w:p w:rsidR="00711DF0" w:rsidRDefault="00711DF0" w:rsidP="00711DF0">
      <w:pPr>
        <w:pStyle w:val="Heading1"/>
        <w:rPr>
          <w:rStyle w:val="Heading1Char"/>
          <w:b/>
          <w:bCs/>
        </w:rPr>
      </w:pPr>
    </w:p>
    <w:p w:rsidR="00711DF0" w:rsidRPr="00865854" w:rsidRDefault="00711DF0" w:rsidP="00711DF0"/>
    <w:p w:rsidR="00711DF0" w:rsidRPr="00E84820" w:rsidRDefault="00711DF0" w:rsidP="00711DF0">
      <w:pPr>
        <w:pStyle w:val="Heading1"/>
        <w:rPr>
          <w:rStyle w:val="Heading1Char"/>
          <w:b/>
          <w:bCs/>
        </w:rPr>
      </w:pPr>
      <w:bookmarkStart w:id="3" w:name="_Toc529178334"/>
      <w:r w:rsidRPr="00E84820">
        <w:rPr>
          <w:rStyle w:val="Heading1Char"/>
        </w:rPr>
        <w:lastRenderedPageBreak/>
        <w:t>Summary of Performance 201</w:t>
      </w:r>
      <w:r w:rsidR="007B0C8D" w:rsidRPr="00E84820">
        <w:rPr>
          <w:rStyle w:val="Heading1Char"/>
        </w:rPr>
        <w:t>7</w:t>
      </w:r>
      <w:r w:rsidRPr="00E84820">
        <w:rPr>
          <w:rStyle w:val="Heading1Char"/>
        </w:rPr>
        <w:t>/1</w:t>
      </w:r>
      <w:r w:rsidR="007B0C8D" w:rsidRPr="00E84820">
        <w:rPr>
          <w:rStyle w:val="Heading1Char"/>
        </w:rPr>
        <w:t>8</w:t>
      </w:r>
      <w:bookmarkEnd w:id="3"/>
    </w:p>
    <w:p w:rsidR="00711DF0" w:rsidRPr="00E84820" w:rsidRDefault="00711DF0" w:rsidP="00711DF0">
      <w:pPr>
        <w:pStyle w:val="Heading1"/>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84820" w:rsidTr="00126779">
        <w:tc>
          <w:tcPr>
            <w:tcW w:w="4077" w:type="dxa"/>
            <w:shd w:val="clear" w:color="auto" w:fill="DAEEF3" w:themeFill="accent5" w:themeFillTint="33"/>
          </w:tcPr>
          <w:p w:rsidR="00711DF0" w:rsidRPr="00E84820" w:rsidRDefault="00711DF0" w:rsidP="00126779">
            <w:pPr>
              <w:rPr>
                <w:b/>
                <w:sz w:val="4"/>
                <w:szCs w:val="4"/>
              </w:rPr>
            </w:pPr>
          </w:p>
          <w:p w:rsidR="00711DF0" w:rsidRPr="00E84820" w:rsidRDefault="00711DF0" w:rsidP="00126779">
            <w:pPr>
              <w:rPr>
                <w:b/>
              </w:rPr>
            </w:pPr>
            <w:r w:rsidRPr="00E84820">
              <w:rPr>
                <w:b/>
                <w:sz w:val="28"/>
              </w:rPr>
              <w:t xml:space="preserve">A Vibrant  and Sustainable Economy </w:t>
            </w:r>
          </w:p>
        </w:tc>
        <w:tc>
          <w:tcPr>
            <w:tcW w:w="1721" w:type="dxa"/>
            <w:shd w:val="clear" w:color="auto" w:fill="DAEEF3" w:themeFill="accent5" w:themeFillTint="33"/>
          </w:tcPr>
          <w:p w:rsidR="00711DF0" w:rsidRPr="00E84820" w:rsidRDefault="00711DF0" w:rsidP="00126779">
            <w:pPr>
              <w:jc w:val="center"/>
              <w:rPr>
                <w:b/>
                <w:noProof/>
                <w:sz w:val="4"/>
                <w:szCs w:val="4"/>
                <w:lang w:eastAsia="en-GB"/>
              </w:rPr>
            </w:pPr>
          </w:p>
          <w:p w:rsidR="00711DF0" w:rsidRPr="00E84820" w:rsidRDefault="00711DF0" w:rsidP="00126779">
            <w:pPr>
              <w:jc w:val="center"/>
              <w:rPr>
                <w:sz w:val="4"/>
                <w:szCs w:val="4"/>
              </w:rPr>
            </w:pPr>
            <w:r w:rsidRPr="00E84820">
              <w:rPr>
                <w:b/>
                <w:noProof/>
                <w:sz w:val="32"/>
                <w:szCs w:val="32"/>
                <w:lang w:eastAsia="en-GB"/>
              </w:rPr>
              <w:drawing>
                <wp:inline distT="0" distB="0" distL="0" distR="0" wp14:anchorId="308E551B" wp14:editId="5F63AD8C">
                  <wp:extent cx="819150" cy="256182"/>
                  <wp:effectExtent l="0" t="0" r="0" b="0"/>
                  <wp:docPr id="5" name="Picture 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11DF0" w:rsidRPr="00E84820" w:rsidRDefault="00E84820" w:rsidP="00126779">
            <w:pPr>
              <w:jc w:val="center"/>
              <w:rPr>
                <w:szCs w:val="22"/>
              </w:rPr>
            </w:pPr>
            <w:r w:rsidRPr="00E84820">
              <w:rPr>
                <w:szCs w:val="22"/>
              </w:rPr>
              <w:t>4</w:t>
            </w:r>
            <w:r w:rsidR="00711DF0" w:rsidRPr="00E84820">
              <w:rPr>
                <w:szCs w:val="22"/>
              </w:rPr>
              <w:t xml:space="preserve"> (</w:t>
            </w:r>
            <w:r w:rsidRPr="00E84820">
              <w:rPr>
                <w:szCs w:val="22"/>
              </w:rPr>
              <w:t>66</w:t>
            </w:r>
            <w:r w:rsidR="00711DF0" w:rsidRPr="00E84820">
              <w:rPr>
                <w:szCs w:val="22"/>
              </w:rPr>
              <w:t>%)</w:t>
            </w:r>
          </w:p>
        </w:tc>
        <w:tc>
          <w:tcPr>
            <w:tcW w:w="1722" w:type="dxa"/>
            <w:shd w:val="clear" w:color="auto" w:fill="DAEEF3" w:themeFill="accent5" w:themeFillTint="33"/>
          </w:tcPr>
          <w:p w:rsidR="00711DF0" w:rsidRPr="00E84820" w:rsidRDefault="00711DF0" w:rsidP="00126779">
            <w:pPr>
              <w:jc w:val="center"/>
              <w:rPr>
                <w:sz w:val="4"/>
                <w:szCs w:val="4"/>
              </w:rPr>
            </w:pPr>
          </w:p>
          <w:p w:rsidR="00711DF0" w:rsidRPr="00E84820" w:rsidRDefault="00711DF0" w:rsidP="00126779">
            <w:pPr>
              <w:jc w:val="center"/>
            </w:pPr>
            <w:r w:rsidRPr="00E84820">
              <w:rPr>
                <w:b/>
                <w:noProof/>
                <w:sz w:val="32"/>
                <w:szCs w:val="32"/>
                <w:lang w:eastAsia="en-GB"/>
              </w:rPr>
              <w:drawing>
                <wp:inline distT="0" distB="0" distL="0" distR="0" wp14:anchorId="0E05AB4E" wp14:editId="0A8981D7">
                  <wp:extent cx="819509" cy="255580"/>
                  <wp:effectExtent l="0" t="0" r="0" b="0"/>
                  <wp:docPr id="6" name="Picture 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711DF0" w:rsidRPr="00E84820" w:rsidRDefault="00E84820" w:rsidP="00126779">
            <w:pPr>
              <w:ind w:left="360"/>
              <w:jc w:val="center"/>
            </w:pPr>
            <w:r w:rsidRPr="00E84820">
              <w:rPr>
                <w:szCs w:val="22"/>
              </w:rPr>
              <w:t>1</w:t>
            </w:r>
            <w:r w:rsidR="00711DF0" w:rsidRPr="00E84820">
              <w:rPr>
                <w:szCs w:val="22"/>
              </w:rPr>
              <w:t xml:space="preserve"> (</w:t>
            </w:r>
            <w:r w:rsidRPr="00E84820">
              <w:rPr>
                <w:szCs w:val="22"/>
              </w:rPr>
              <w:t>17</w:t>
            </w:r>
            <w:r w:rsidR="00711DF0" w:rsidRPr="00E84820">
              <w:rPr>
                <w:szCs w:val="22"/>
              </w:rPr>
              <w:t>%)</w:t>
            </w:r>
          </w:p>
        </w:tc>
        <w:tc>
          <w:tcPr>
            <w:tcW w:w="1722" w:type="dxa"/>
            <w:shd w:val="clear" w:color="auto" w:fill="DAEEF3" w:themeFill="accent5" w:themeFillTint="33"/>
          </w:tcPr>
          <w:p w:rsidR="00711DF0" w:rsidRPr="00E84820" w:rsidRDefault="00711DF0" w:rsidP="00126779">
            <w:pPr>
              <w:jc w:val="center"/>
              <w:rPr>
                <w:noProof/>
                <w:sz w:val="4"/>
                <w:szCs w:val="4"/>
                <w:lang w:eastAsia="en-GB"/>
              </w:rPr>
            </w:pPr>
          </w:p>
          <w:p w:rsidR="00711DF0" w:rsidRPr="00E84820" w:rsidRDefault="00711DF0" w:rsidP="00126779">
            <w:pPr>
              <w:jc w:val="center"/>
              <w:rPr>
                <w:sz w:val="4"/>
                <w:szCs w:val="4"/>
              </w:rPr>
            </w:pPr>
            <w:r w:rsidRPr="00E84820">
              <w:rPr>
                <w:noProof/>
                <w:lang w:eastAsia="en-GB"/>
              </w:rPr>
              <w:drawing>
                <wp:inline distT="0" distB="0" distL="0" distR="0" wp14:anchorId="5846D8EA" wp14:editId="30FC719C">
                  <wp:extent cx="819150" cy="256297"/>
                  <wp:effectExtent l="0" t="0" r="0" b="0"/>
                  <wp:docPr id="16" name="Picture 1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711DF0" w:rsidRPr="00E84820" w:rsidRDefault="00E84820" w:rsidP="00126779">
            <w:pPr>
              <w:pStyle w:val="ListParagraph"/>
              <w:ind w:left="360"/>
            </w:pPr>
            <w:r w:rsidRPr="00E84820">
              <w:rPr>
                <w:szCs w:val="22"/>
              </w:rPr>
              <w:t>1</w:t>
            </w:r>
            <w:r w:rsidR="00711DF0" w:rsidRPr="00E84820">
              <w:rPr>
                <w:szCs w:val="22"/>
              </w:rPr>
              <w:t xml:space="preserve"> (</w:t>
            </w:r>
            <w:r w:rsidRPr="00E84820">
              <w:rPr>
                <w:szCs w:val="22"/>
              </w:rPr>
              <w:t>17</w:t>
            </w:r>
            <w:r w:rsidR="00711DF0" w:rsidRPr="00E84820">
              <w:rPr>
                <w:szCs w:val="22"/>
              </w:rPr>
              <w:t>%)</w:t>
            </w:r>
          </w:p>
        </w:tc>
      </w:tr>
    </w:tbl>
    <w:p w:rsidR="00711DF0" w:rsidRPr="00E84820" w:rsidRDefault="00711DF0" w:rsidP="00711DF0">
      <w:pPr>
        <w:jc w:val="both"/>
        <w:rPr>
          <w:rFonts w:cs="Calibri"/>
          <w:sz w:val="16"/>
          <w:szCs w:val="10"/>
        </w:rPr>
      </w:pPr>
    </w:p>
    <w:p w:rsidR="00711DF0" w:rsidRPr="00E84820"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sidRPr="00E84820">
        <w:rPr>
          <w:rFonts w:cs="Calibri"/>
        </w:rPr>
        <w:t>Oxford makes a significant contribution to the national economy and is a global centre for education, health, bioscience, digital and car manufacturing. AMR indicators show that current policies are providing strong protection for existing protected key employment sites (Indicator 1). Oxford’s employment land supply will be reviewed further as part of the work on the emerging Oxford Local Plan 2036.</w:t>
      </w:r>
    </w:p>
    <w:p w:rsidR="007B0C8D" w:rsidRDefault="007B0C8D" w:rsidP="007B0C8D">
      <w:pPr>
        <w:pStyle w:val="ListParagraph"/>
        <w:numPr>
          <w:ilvl w:val="1"/>
          <w:numId w:val="1"/>
        </w:numPr>
        <w:spacing w:after="200" w:line="276" w:lineRule="auto"/>
        <w:ind w:left="567" w:hanging="567"/>
        <w:jc w:val="both"/>
        <w:rPr>
          <w:rFonts w:cs="Calibri"/>
        </w:rPr>
      </w:pPr>
      <w:r w:rsidRPr="00E84820">
        <w:rPr>
          <w:rFonts w:cs="Calibri"/>
        </w:rPr>
        <w:t xml:space="preserve">10,447m2 of new B1 employment </w:t>
      </w:r>
      <w:proofErr w:type="spellStart"/>
      <w:r w:rsidRPr="00E84820">
        <w:rPr>
          <w:rFonts w:cs="Calibri"/>
        </w:rPr>
        <w:t>floorspace</w:t>
      </w:r>
      <w:proofErr w:type="spellEnd"/>
      <w:r w:rsidRPr="00E84820">
        <w:rPr>
          <w:rFonts w:cs="Calibri"/>
        </w:rPr>
        <w:t xml:space="preserve"> was permitted during the 2017/18 monitoring year. Whilst this does not exceed the annual Corporate Plan target of 15,000m2 each year between 2016 and 2020, permission for new B1 employment </w:t>
      </w:r>
      <w:proofErr w:type="spellStart"/>
      <w:r w:rsidRPr="00E84820">
        <w:rPr>
          <w:rFonts w:cs="Calibri"/>
        </w:rPr>
        <w:t>floorspace</w:t>
      </w:r>
      <w:proofErr w:type="spellEnd"/>
      <w:r w:rsidRPr="00E84820">
        <w:rPr>
          <w:rFonts w:cs="Calibri"/>
        </w:rPr>
        <w:t xml:space="preserve"> on average over the last two monitoring years is 15,610m2 meaning the Council is still on track in meeting its targets. There has also been continued investment in new medical research and hospital healthcare facilities in Oxford during the monitoring year, with 1,393m2 of new </w:t>
      </w:r>
      <w:proofErr w:type="spellStart"/>
      <w:r w:rsidRPr="00E84820">
        <w:rPr>
          <w:rFonts w:cs="Calibri"/>
        </w:rPr>
        <w:t>floorspace</w:t>
      </w:r>
      <w:proofErr w:type="spellEnd"/>
      <w:r w:rsidRPr="00E84820">
        <w:rPr>
          <w:rFonts w:cs="Calibri"/>
        </w:rPr>
        <w:t xml:space="preserve"> permitted during 2017/18. Whilst not as high as the 60,228m2 permitted in the previous monitoring year it is still positive Oxford’s employment land supply will be reviewed further as part of the work on the emerging Oxford Local Plan 2036.</w:t>
      </w:r>
    </w:p>
    <w:p w:rsidR="00530292" w:rsidRDefault="00530292" w:rsidP="00530292">
      <w:pPr>
        <w:pStyle w:val="ListParagraph"/>
        <w:spacing w:after="200" w:line="276" w:lineRule="auto"/>
        <w:ind w:left="567"/>
        <w:jc w:val="both"/>
        <w:rPr>
          <w:rFonts w:cs="Calibri"/>
        </w:rPr>
      </w:pPr>
    </w:p>
    <w:p w:rsidR="00530292" w:rsidRPr="00530292" w:rsidRDefault="00530292" w:rsidP="00530292">
      <w:pPr>
        <w:pStyle w:val="ListParagraph"/>
        <w:numPr>
          <w:ilvl w:val="1"/>
          <w:numId w:val="1"/>
        </w:numPr>
        <w:spacing w:line="276" w:lineRule="auto"/>
        <w:ind w:left="567" w:hanging="567"/>
        <w:jc w:val="both"/>
        <w:rPr>
          <w:rFonts w:cs="Calibri"/>
        </w:rPr>
      </w:pPr>
      <w:r w:rsidRPr="00530292">
        <w:rPr>
          <w:rFonts w:cs="Calibri"/>
        </w:rPr>
        <w:t xml:space="preserve">Planning permission was granted for six developments that would result in new A1 retail </w:t>
      </w:r>
      <w:proofErr w:type="spellStart"/>
      <w:r w:rsidRPr="00530292">
        <w:rPr>
          <w:rFonts w:cs="Calibri"/>
        </w:rPr>
        <w:t>floorspace</w:t>
      </w:r>
      <w:proofErr w:type="spellEnd"/>
      <w:r w:rsidRPr="00530292">
        <w:rPr>
          <w:rFonts w:cs="Calibri"/>
        </w:rPr>
        <w:t xml:space="preserve"> totalling 1,486m2 in 2017/18, if implemented. Four out of six of these applications were located on sites that do not fall within Oxford’s retail hierarchy and therefore did not comply with the locational requirements of Policy CS31.  These four applications combined represent a total net increase in A1 </w:t>
      </w:r>
      <w:proofErr w:type="spellStart"/>
      <w:r w:rsidRPr="00530292">
        <w:rPr>
          <w:rFonts w:cs="Calibri"/>
        </w:rPr>
        <w:t>floorspace</w:t>
      </w:r>
      <w:proofErr w:type="spellEnd"/>
      <w:r w:rsidRPr="00530292">
        <w:rPr>
          <w:rFonts w:cs="Calibri"/>
        </w:rPr>
        <w:t xml:space="preserve"> of 1134m2 which is fairly significant. There was one proposal for new retail </w:t>
      </w:r>
      <w:proofErr w:type="spellStart"/>
      <w:r w:rsidRPr="00530292">
        <w:rPr>
          <w:rFonts w:cs="Calibri"/>
        </w:rPr>
        <w:t>floorspace</w:t>
      </w:r>
      <w:proofErr w:type="spellEnd"/>
      <w:r w:rsidRPr="00530292">
        <w:rPr>
          <w:rFonts w:cs="Calibri"/>
        </w:rPr>
        <w:t xml:space="preserve"> within the Summertown district centre comprising 285m2, and one for 67m2 in a Primary District Centre however this only represents 24% of gross new A1 </w:t>
      </w:r>
      <w:proofErr w:type="spellStart"/>
      <w:r w:rsidRPr="00530292">
        <w:rPr>
          <w:rFonts w:cs="Calibri"/>
        </w:rPr>
        <w:t>floorspace</w:t>
      </w:r>
      <w:proofErr w:type="spellEnd"/>
      <w:r w:rsidRPr="00530292">
        <w:rPr>
          <w:rFonts w:cs="Calibri"/>
        </w:rPr>
        <w:t xml:space="preserve"> approved in the 2017/18 monitoring year. This indicator is intended to help monitor whether developments which attract substantial numbers of people are suitably located. In this case over 600m2 of the approved </w:t>
      </w:r>
      <w:proofErr w:type="spellStart"/>
      <w:r w:rsidRPr="00530292">
        <w:rPr>
          <w:rFonts w:cs="Calibri"/>
        </w:rPr>
        <w:t>floorspace</w:t>
      </w:r>
      <w:proofErr w:type="spellEnd"/>
      <w:r w:rsidRPr="00530292">
        <w:rPr>
          <w:rFonts w:cs="Calibri"/>
        </w:rPr>
        <w:t xml:space="preserve"> was for extensions to existing retail parks which are unlikely to negatively impact the City’s centres. Another 324m2 of retail </w:t>
      </w:r>
      <w:proofErr w:type="spellStart"/>
      <w:r w:rsidRPr="00530292">
        <w:rPr>
          <w:rFonts w:cs="Calibri"/>
        </w:rPr>
        <w:t>floorspace</w:t>
      </w:r>
      <w:proofErr w:type="spellEnd"/>
      <w:r w:rsidRPr="00530292">
        <w:rPr>
          <w:rFonts w:cs="Calibri"/>
        </w:rPr>
        <w:t xml:space="preserve"> approved lies just outside the main shopping area and is within the City Centre commercial area and on balance considering this and its previous use as a marketing suite for a now complete development, the proposal was considered acceptable. The 100% target was not met during this monitoring year however this was for good planning reasons.</w:t>
      </w:r>
    </w:p>
    <w:p w:rsidR="00530292" w:rsidRPr="00530292" w:rsidRDefault="00530292" w:rsidP="00530292">
      <w:pPr>
        <w:spacing w:after="200" w:line="276" w:lineRule="auto"/>
        <w:jc w:val="both"/>
        <w:rPr>
          <w:rFonts w:cs="Calibri"/>
        </w:rPr>
      </w:pPr>
    </w:p>
    <w:p w:rsidR="00530292" w:rsidRDefault="00530292" w:rsidP="00530292">
      <w:pPr>
        <w:pStyle w:val="ListParagraph"/>
        <w:numPr>
          <w:ilvl w:val="1"/>
          <w:numId w:val="1"/>
        </w:numPr>
        <w:spacing w:after="200" w:line="276" w:lineRule="auto"/>
        <w:ind w:left="567" w:hanging="567"/>
        <w:jc w:val="both"/>
        <w:rPr>
          <w:rFonts w:cs="Calibri"/>
        </w:rPr>
      </w:pPr>
      <w:r w:rsidRPr="00530292">
        <w:rPr>
          <w:rFonts w:cs="Calibri"/>
        </w:rPr>
        <w:t>Only one (</w:t>
      </w:r>
      <w:proofErr w:type="spellStart"/>
      <w:r w:rsidRPr="00530292">
        <w:rPr>
          <w:rFonts w:cs="Calibri"/>
        </w:rPr>
        <w:t>Cowley</w:t>
      </w:r>
      <w:proofErr w:type="spellEnd"/>
      <w:r w:rsidRPr="00530292">
        <w:rPr>
          <w:rFonts w:cs="Calibri"/>
        </w:rPr>
        <w:t xml:space="preserve"> Centre) of Oxford’s city and district centres met the Local Plan targets for A1 (retail) uses on designated frontages in the city and district centres, however the majority of centres were close to their targets. In terms of changes from the previous year, increases in the proportion of A1 retail units were found in </w:t>
      </w:r>
      <w:proofErr w:type="spellStart"/>
      <w:r w:rsidRPr="00530292">
        <w:rPr>
          <w:rFonts w:cs="Calibri"/>
        </w:rPr>
        <w:t>Cowley</w:t>
      </w:r>
      <w:proofErr w:type="spellEnd"/>
      <w:r w:rsidRPr="00530292">
        <w:rPr>
          <w:rFonts w:cs="Calibri"/>
        </w:rPr>
        <w:t xml:space="preserve"> Centre and in Headington, whilst East Oxford-</w:t>
      </w:r>
      <w:proofErr w:type="spellStart"/>
      <w:r w:rsidRPr="00530292">
        <w:rPr>
          <w:rFonts w:cs="Calibri"/>
        </w:rPr>
        <w:t>Cowley</w:t>
      </w:r>
      <w:proofErr w:type="spellEnd"/>
      <w:r w:rsidRPr="00530292">
        <w:rPr>
          <w:rFonts w:cs="Calibri"/>
        </w:rPr>
        <w:t xml:space="preserve"> Road and Summertown each decreased slightly. </w:t>
      </w:r>
    </w:p>
    <w:p w:rsidR="00530292" w:rsidRPr="00530292" w:rsidRDefault="00530292" w:rsidP="00530292">
      <w:pPr>
        <w:pStyle w:val="ListParagraph"/>
        <w:rPr>
          <w:rFonts w:cs="Calibri"/>
        </w:rPr>
      </w:pPr>
    </w:p>
    <w:p w:rsidR="00530292" w:rsidRPr="00530292" w:rsidRDefault="00530292" w:rsidP="00530292">
      <w:pPr>
        <w:pStyle w:val="ListParagraph"/>
        <w:spacing w:after="200" w:line="276" w:lineRule="auto"/>
        <w:ind w:left="567"/>
        <w:jc w:val="both"/>
        <w:rPr>
          <w:rFonts w:cs="Calibri"/>
        </w:rPr>
      </w:pPr>
    </w:p>
    <w:p w:rsidR="00530292" w:rsidRPr="00530292" w:rsidRDefault="00530292" w:rsidP="00530292">
      <w:pPr>
        <w:pStyle w:val="ListParagraph"/>
        <w:numPr>
          <w:ilvl w:val="1"/>
          <w:numId w:val="1"/>
        </w:numPr>
        <w:spacing w:after="200" w:line="276" w:lineRule="auto"/>
        <w:ind w:left="567" w:hanging="567"/>
        <w:jc w:val="both"/>
        <w:rPr>
          <w:rFonts w:cs="Calibri"/>
        </w:rPr>
      </w:pPr>
      <w:r w:rsidRPr="00530292">
        <w:rPr>
          <w:rFonts w:cs="Calibri"/>
        </w:rPr>
        <w:lastRenderedPageBreak/>
        <w:t xml:space="preserve">In recent years, additional permitted development rights have been introduced by central Government allowing A1 retail uses to change, temporarily or permanently, to other specified uses without the need for planning permission (although prior approval is required in some cases). This means that it is slightly more difficult to control the proportion of A1 retail uses on Oxford’s designated street frontages through the planning system. However, this has not had a significant impact on Oxford’s designated frontages to date. The emerging Oxford Local Plan 2036 seeks to support the role that town centres play in Oxford and seeks to ensure that a significant retail presence is maintained at the ground floor level of Oxford’s city, district and local centres. The Revised NPPF (2018) continues to highlight the importance of the high street however it also highlights that centres should be responsive to changes in retail and leisure industries. The emerging policies remain adaptive to changes in the retail circumstances of Oxford’s centres going forward by taking an evidence based approach to future planning applications. </w:t>
      </w:r>
    </w:p>
    <w:p w:rsidR="007B0C8D" w:rsidRPr="00E84820" w:rsidRDefault="007B0C8D" w:rsidP="007B0C8D">
      <w:pPr>
        <w:pStyle w:val="ListParagraph"/>
        <w:spacing w:after="200" w:line="276" w:lineRule="auto"/>
        <w:ind w:left="360"/>
        <w:jc w:val="both"/>
        <w:rPr>
          <w:rFonts w:cs="Calibri"/>
        </w:rPr>
      </w:pPr>
    </w:p>
    <w:p w:rsidR="00711DF0" w:rsidRPr="00E84820" w:rsidRDefault="007B0C8D" w:rsidP="00FD3F6A">
      <w:pPr>
        <w:pStyle w:val="ListParagraph"/>
        <w:numPr>
          <w:ilvl w:val="1"/>
          <w:numId w:val="1"/>
        </w:numPr>
        <w:spacing w:after="200" w:line="276" w:lineRule="auto"/>
        <w:ind w:left="567" w:hanging="567"/>
        <w:jc w:val="both"/>
        <w:rPr>
          <w:rFonts w:cs="Calibri"/>
        </w:rPr>
      </w:pPr>
      <w:r w:rsidRPr="00E84820">
        <w:rPr>
          <w:rFonts w:cs="Calibri"/>
        </w:rPr>
        <w:t xml:space="preserve">The Retail and Leisure Study for Oxford (Carter Jonas, 2017) assesses the success, vibrancy and opportunities in the city centre and confirms that there are a significant number of retailers who are looking for a presence in Oxford that have not yet got premises. The Westgate Shopping Centre was completed and opened towards the end of the 017/18 monitoring year, which has significantly contributed towards the retail offer in the city’s commercial centre and also helped create additional jobs. This will reinforce the retail attraction of the city centre and will thereby support the retail hierarchy.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84820" w:rsidTr="00126779">
        <w:tc>
          <w:tcPr>
            <w:tcW w:w="4077" w:type="dxa"/>
            <w:shd w:val="clear" w:color="auto" w:fill="FCD5B5"/>
          </w:tcPr>
          <w:p w:rsidR="00711DF0" w:rsidRPr="00E84820" w:rsidRDefault="00711DF0" w:rsidP="00126779">
            <w:pPr>
              <w:rPr>
                <w:b/>
                <w:sz w:val="4"/>
                <w:szCs w:val="4"/>
              </w:rPr>
            </w:pPr>
          </w:p>
          <w:p w:rsidR="00711DF0" w:rsidRPr="00E84820" w:rsidRDefault="00711DF0" w:rsidP="00126779">
            <w:pPr>
              <w:rPr>
                <w:b/>
              </w:rPr>
            </w:pPr>
            <w:r w:rsidRPr="00E84820">
              <w:rPr>
                <w:b/>
                <w:sz w:val="28"/>
              </w:rPr>
              <w:t>Meeting Housing Needs</w:t>
            </w:r>
          </w:p>
        </w:tc>
        <w:tc>
          <w:tcPr>
            <w:tcW w:w="1721" w:type="dxa"/>
            <w:shd w:val="clear" w:color="auto" w:fill="FCD5B5"/>
          </w:tcPr>
          <w:p w:rsidR="00711DF0" w:rsidRPr="00E84820" w:rsidRDefault="00711DF0" w:rsidP="00126779">
            <w:pPr>
              <w:jc w:val="center"/>
              <w:rPr>
                <w:b/>
                <w:noProof/>
                <w:sz w:val="4"/>
                <w:szCs w:val="4"/>
                <w:lang w:eastAsia="en-GB"/>
              </w:rPr>
            </w:pPr>
          </w:p>
          <w:p w:rsidR="00711DF0" w:rsidRPr="00E84820" w:rsidRDefault="00711DF0" w:rsidP="00126779">
            <w:pPr>
              <w:jc w:val="center"/>
              <w:rPr>
                <w:szCs w:val="22"/>
              </w:rPr>
            </w:pPr>
            <w:r w:rsidRPr="00E84820">
              <w:rPr>
                <w:b/>
                <w:noProof/>
                <w:sz w:val="32"/>
                <w:szCs w:val="32"/>
                <w:lang w:eastAsia="en-GB"/>
              </w:rPr>
              <w:drawing>
                <wp:inline distT="0" distB="0" distL="0" distR="0" wp14:anchorId="5F9F3706" wp14:editId="7A0EDAB6">
                  <wp:extent cx="819150" cy="256182"/>
                  <wp:effectExtent l="0" t="0" r="0" b="0"/>
                  <wp:docPr id="22" name="Picture 2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r w:rsidRPr="00E84820">
              <w:rPr>
                <w:szCs w:val="22"/>
              </w:rPr>
              <w:t xml:space="preserve"> </w:t>
            </w:r>
          </w:p>
          <w:p w:rsidR="00711DF0" w:rsidRPr="00E84820" w:rsidRDefault="00E84820" w:rsidP="00126779">
            <w:pPr>
              <w:jc w:val="center"/>
              <w:rPr>
                <w:szCs w:val="22"/>
              </w:rPr>
            </w:pPr>
            <w:r w:rsidRPr="00E84820">
              <w:rPr>
                <w:szCs w:val="22"/>
              </w:rPr>
              <w:t>4</w:t>
            </w:r>
            <w:r w:rsidR="00711DF0" w:rsidRPr="00E84820">
              <w:rPr>
                <w:szCs w:val="22"/>
              </w:rPr>
              <w:t xml:space="preserve"> (</w:t>
            </w:r>
            <w:r w:rsidRPr="00E84820">
              <w:rPr>
                <w:szCs w:val="22"/>
              </w:rPr>
              <w:t>50</w:t>
            </w:r>
            <w:r w:rsidR="00711DF0" w:rsidRPr="00E84820">
              <w:rPr>
                <w:szCs w:val="22"/>
              </w:rPr>
              <w:t>%)</w:t>
            </w:r>
          </w:p>
        </w:tc>
        <w:tc>
          <w:tcPr>
            <w:tcW w:w="1722" w:type="dxa"/>
            <w:shd w:val="clear" w:color="auto" w:fill="FCD5B5"/>
          </w:tcPr>
          <w:p w:rsidR="00711DF0" w:rsidRPr="00E84820" w:rsidRDefault="00711DF0" w:rsidP="00126779">
            <w:pPr>
              <w:jc w:val="center"/>
              <w:rPr>
                <w:sz w:val="4"/>
                <w:szCs w:val="4"/>
              </w:rPr>
            </w:pPr>
          </w:p>
          <w:p w:rsidR="00711DF0" w:rsidRPr="00E84820" w:rsidRDefault="00711DF0" w:rsidP="00126779">
            <w:pPr>
              <w:jc w:val="center"/>
            </w:pPr>
            <w:r w:rsidRPr="00E84820">
              <w:rPr>
                <w:b/>
                <w:noProof/>
                <w:sz w:val="32"/>
                <w:szCs w:val="32"/>
                <w:lang w:eastAsia="en-GB"/>
              </w:rPr>
              <w:drawing>
                <wp:inline distT="0" distB="0" distL="0" distR="0" wp14:anchorId="26E969C9" wp14:editId="638C0CA0">
                  <wp:extent cx="819509" cy="255580"/>
                  <wp:effectExtent l="0" t="0" r="0" b="0"/>
                  <wp:docPr id="28" name="Picture 2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711DF0" w:rsidRPr="00E84820" w:rsidRDefault="00E84820" w:rsidP="00126779">
            <w:pPr>
              <w:jc w:val="center"/>
            </w:pPr>
            <w:r w:rsidRPr="00E84820">
              <w:rPr>
                <w:szCs w:val="22"/>
              </w:rPr>
              <w:t>4</w:t>
            </w:r>
            <w:r w:rsidR="00711DF0" w:rsidRPr="00E84820">
              <w:rPr>
                <w:szCs w:val="22"/>
              </w:rPr>
              <w:t xml:space="preserve"> (</w:t>
            </w:r>
            <w:r w:rsidRPr="00E84820">
              <w:rPr>
                <w:szCs w:val="22"/>
              </w:rPr>
              <w:t>50</w:t>
            </w:r>
            <w:r w:rsidR="00711DF0" w:rsidRPr="00E84820">
              <w:rPr>
                <w:szCs w:val="22"/>
              </w:rPr>
              <w:t>%)</w:t>
            </w:r>
          </w:p>
        </w:tc>
        <w:tc>
          <w:tcPr>
            <w:tcW w:w="1722" w:type="dxa"/>
            <w:shd w:val="clear" w:color="auto" w:fill="FCD5B5"/>
          </w:tcPr>
          <w:p w:rsidR="00711DF0" w:rsidRPr="00E84820" w:rsidRDefault="00711DF0" w:rsidP="00126779">
            <w:pPr>
              <w:jc w:val="center"/>
              <w:rPr>
                <w:noProof/>
                <w:sz w:val="4"/>
                <w:szCs w:val="4"/>
                <w:lang w:eastAsia="en-GB"/>
              </w:rPr>
            </w:pPr>
          </w:p>
          <w:p w:rsidR="00711DF0" w:rsidRPr="00E84820" w:rsidRDefault="00711DF0" w:rsidP="00126779">
            <w:pPr>
              <w:jc w:val="center"/>
              <w:rPr>
                <w:sz w:val="4"/>
                <w:szCs w:val="4"/>
              </w:rPr>
            </w:pPr>
            <w:r w:rsidRPr="00E84820">
              <w:rPr>
                <w:noProof/>
                <w:lang w:eastAsia="en-GB"/>
              </w:rPr>
              <w:drawing>
                <wp:inline distT="0" distB="0" distL="0" distR="0" wp14:anchorId="0ECD3058" wp14:editId="70C447C1">
                  <wp:extent cx="819150" cy="256297"/>
                  <wp:effectExtent l="0" t="0" r="0" b="0"/>
                  <wp:docPr id="29" name="Picture 2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711DF0" w:rsidRPr="00E84820" w:rsidRDefault="00711DF0" w:rsidP="00126779">
            <w:pPr>
              <w:jc w:val="center"/>
            </w:pPr>
            <w:r w:rsidRPr="00E84820">
              <w:rPr>
                <w:szCs w:val="22"/>
              </w:rPr>
              <w:t>0 (0%)</w:t>
            </w:r>
          </w:p>
        </w:tc>
      </w:tr>
    </w:tbl>
    <w:p w:rsidR="00711DF0" w:rsidRPr="00E84820" w:rsidRDefault="00711DF0" w:rsidP="00711DF0">
      <w:pPr>
        <w:spacing w:line="276" w:lineRule="auto"/>
        <w:jc w:val="both"/>
        <w:rPr>
          <w:rFonts w:eastAsia="Calibri" w:cs="Calibri"/>
          <w:b/>
          <w:color w:val="000000"/>
          <w:sz w:val="14"/>
          <w:szCs w:val="22"/>
        </w:rPr>
      </w:pPr>
    </w:p>
    <w:p w:rsidR="00FD3F6A" w:rsidRDefault="00FD3F6A" w:rsidP="00530292">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In the 2017/18 monitoring year, 282 (net) dwellings were completed in Oxford. Whilst this is some way off the 400 dwellings per year annualised target set in the Core Strategy, the average annual housing delivery since 2006/07 remains above the 400 dwellings per year target. The cumulative number of dwellings completed in the 12 years since the start of the Core Strategy period (2006/07 to 2017/18) is 4,498 dwellings (net). The cumulative number of completions that might have been expected during this period is 5,250 dwellings (net). Therefore at the end of 2017/18 there were 752 fewer completed dwellings than might have been expected. This should be considered in the context of the 2007/08 financial crisis which had a dramatic impact on the house building industry for several years. It is also important to note that larger schemes are likely to take longer to implement and some of the larger schemes approved in the last couple years are unlikely to be completed in the same year they were approved in. Since 2014/15 the number of completions has steadily been increasing, and it is anticipated that any shortfall will be further addressed within the next few years, particularly as major schemes such as Barton Park</w:t>
      </w:r>
      <w:r w:rsidR="0071506B">
        <w:rPr>
          <w:rFonts w:eastAsia="Calibri" w:cs="Calibri"/>
          <w:color w:val="000000"/>
          <w:szCs w:val="22"/>
        </w:rPr>
        <w:t xml:space="preserve">, </w:t>
      </w:r>
      <w:proofErr w:type="spellStart"/>
      <w:r w:rsidR="0071506B">
        <w:rPr>
          <w:rFonts w:eastAsia="Calibri" w:cs="Calibri"/>
          <w:color w:val="000000"/>
          <w:szCs w:val="22"/>
        </w:rPr>
        <w:t>Oxpens</w:t>
      </w:r>
      <w:proofErr w:type="spellEnd"/>
      <w:r w:rsidR="0071506B">
        <w:rPr>
          <w:rFonts w:eastAsia="Calibri" w:cs="Calibri"/>
          <w:color w:val="000000"/>
          <w:szCs w:val="22"/>
        </w:rPr>
        <w:t xml:space="preserve"> and sites at Littlemore</w:t>
      </w:r>
      <w:r w:rsidRPr="00E84820">
        <w:rPr>
          <w:rFonts w:eastAsia="Calibri" w:cs="Calibri"/>
          <w:color w:val="000000"/>
          <w:szCs w:val="22"/>
        </w:rPr>
        <w:t xml:space="preserve"> are built out. </w:t>
      </w:r>
    </w:p>
    <w:p w:rsidR="0071506B" w:rsidRPr="00E84820" w:rsidRDefault="0071506B" w:rsidP="0071506B">
      <w:pPr>
        <w:pStyle w:val="ListParagraph"/>
        <w:spacing w:after="200" w:line="276" w:lineRule="auto"/>
        <w:ind w:left="360"/>
        <w:jc w:val="both"/>
        <w:rPr>
          <w:rFonts w:eastAsia="Calibri" w:cs="Calibri"/>
          <w:color w:val="000000"/>
          <w:szCs w:val="22"/>
        </w:rPr>
      </w:pPr>
    </w:p>
    <w:p w:rsidR="00FD3F6A" w:rsidRPr="00E84820" w:rsidRDefault="00FD3F6A" w:rsidP="00530292">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The housing trajectory which calculates the expected number of homes to be built up to 2026 shows that Oxford City Council is likely to exceed its housing target set in the Core Strategy by 2024.</w:t>
      </w: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Default="00FD3F6A" w:rsidP="00530292">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lastRenderedPageBreak/>
        <w:t xml:space="preserve">18 affordable dwellings (32 gross) were completed in 2017/18. The main contributors were 10 social rent dwellings at </w:t>
      </w:r>
      <w:proofErr w:type="spellStart"/>
      <w:r w:rsidRPr="00E84820">
        <w:rPr>
          <w:rFonts w:eastAsia="Calibri" w:cs="Calibri"/>
          <w:color w:val="000000"/>
          <w:szCs w:val="22"/>
        </w:rPr>
        <w:t>Marywood</w:t>
      </w:r>
      <w:proofErr w:type="spellEnd"/>
      <w:r w:rsidRPr="00E84820">
        <w:rPr>
          <w:rFonts w:eastAsia="Calibri" w:cs="Calibri"/>
          <w:color w:val="000000"/>
          <w:szCs w:val="22"/>
        </w:rPr>
        <w:t xml:space="preserve"> House, Leiden Road (14/01770/FUL) and 15 social rent dwellings at Northway Centre, </w:t>
      </w:r>
      <w:proofErr w:type="spellStart"/>
      <w:r w:rsidRPr="00E84820">
        <w:rPr>
          <w:rFonts w:eastAsia="Calibri" w:cs="Calibri"/>
          <w:color w:val="000000"/>
          <w:szCs w:val="22"/>
        </w:rPr>
        <w:t>Maltfield</w:t>
      </w:r>
      <w:proofErr w:type="spellEnd"/>
      <w:r w:rsidRPr="00E84820">
        <w:rPr>
          <w:rFonts w:eastAsia="Calibri" w:cs="Calibri"/>
          <w:color w:val="000000"/>
          <w:szCs w:val="22"/>
        </w:rPr>
        <w:t xml:space="preserve"> Road (12/03280/FUL)</w:t>
      </w:r>
      <w:proofErr w:type="gramStart"/>
      <w:r w:rsidRPr="00E84820">
        <w:rPr>
          <w:rFonts w:eastAsia="Calibri" w:cs="Calibri"/>
          <w:color w:val="000000"/>
          <w:szCs w:val="22"/>
        </w:rPr>
        <w:t>,</w:t>
      </w:r>
      <w:proofErr w:type="gramEnd"/>
      <w:r w:rsidRPr="00E84820">
        <w:rPr>
          <w:rFonts w:eastAsia="Calibri" w:cs="Calibri"/>
          <w:color w:val="000000"/>
          <w:szCs w:val="22"/>
        </w:rPr>
        <w:t xml:space="preserve"> however 14 social rent dwellings were lost to enable development of the Westgate Centre which will bring jobs and increased retail offer to Oxford. As with the overall housing numbers for completions and permissions, it is natural for affordable housing delivery to fluctuate due to the limited number of larger sites available within Oxford. However, as mentioned above, affordable housing delivery is expected to increase in future monitoring years.</w:t>
      </w:r>
    </w:p>
    <w:p w:rsidR="00530292" w:rsidRPr="00530292" w:rsidRDefault="00530292" w:rsidP="00530292">
      <w:pPr>
        <w:pStyle w:val="ListParagraph"/>
        <w:rPr>
          <w:rFonts w:eastAsia="Calibri" w:cs="Calibri"/>
          <w:color w:val="000000"/>
          <w:szCs w:val="22"/>
        </w:rPr>
      </w:pPr>
    </w:p>
    <w:p w:rsidR="00FD3F6A" w:rsidRPr="005F300A" w:rsidRDefault="00530292" w:rsidP="005F300A">
      <w:pPr>
        <w:pStyle w:val="ListParagraph"/>
        <w:numPr>
          <w:ilvl w:val="1"/>
          <w:numId w:val="1"/>
        </w:numPr>
        <w:spacing w:line="276" w:lineRule="auto"/>
        <w:ind w:left="709" w:hanging="709"/>
        <w:jc w:val="both"/>
        <w:rPr>
          <w:rFonts w:eastAsia="Calibri" w:cs="Calibri"/>
          <w:color w:val="000000"/>
          <w:szCs w:val="22"/>
        </w:rPr>
      </w:pPr>
      <w:r w:rsidRPr="00530292">
        <w:rPr>
          <w:rFonts w:eastAsia="Calibri" w:cs="Calibri"/>
          <w:color w:val="000000"/>
          <w:szCs w:val="22"/>
        </w:rPr>
        <w:t xml:space="preserve">The Council seeks to ensure that the tenure split of affordable housing be at least 80% social rented and up to 20% intermediate (including shared ownership, intermediate rental and affordable rental). 23 of the 32 affordable homes delivered were on a social rent basis meaning in total throughout the monitoring year 71% of affordable homes delivered were on a social rent basis. The 80% target was met on all applications except one (Northway Centre) which lowered the overall percentage for the monitoring year. On an application-by-application basis however the Council is achieving </w:t>
      </w:r>
      <w:proofErr w:type="gramStart"/>
      <w:r w:rsidRPr="00530292">
        <w:rPr>
          <w:rFonts w:eastAsia="Calibri" w:cs="Calibri"/>
          <w:color w:val="000000"/>
          <w:szCs w:val="22"/>
        </w:rPr>
        <w:t>the 80:20 tenure split in most cases</w:t>
      </w:r>
      <w:proofErr w:type="gramEnd"/>
      <w:r w:rsidRPr="00530292">
        <w:rPr>
          <w:rFonts w:eastAsia="Calibri" w:cs="Calibri"/>
          <w:color w:val="000000"/>
          <w:szCs w:val="22"/>
        </w:rPr>
        <w:t xml:space="preserve">. </w:t>
      </w: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530292">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In the 2017/18 monitoring year the City Council received £1,717,018.34 through s106 agreements towards affordable housing provision. This money will be used to support the delivery of affordable housing elsewhere. </w:t>
      </w: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5F300A">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Core Strategy Policy CS25 requires each university to have no more than 3,000 full-time </w:t>
      </w:r>
      <w:bookmarkStart w:id="4" w:name="_GoBack"/>
      <w:bookmarkEnd w:id="4"/>
      <w:r w:rsidRPr="00E84820">
        <w:rPr>
          <w:rFonts w:eastAsia="Calibri" w:cs="Calibri"/>
          <w:color w:val="000000"/>
          <w:szCs w:val="22"/>
        </w:rPr>
        <w:t xml:space="preserve">students living outside of university provided accommodation in Oxford and all increases in academic </w:t>
      </w:r>
      <w:proofErr w:type="spellStart"/>
      <w:r w:rsidRPr="00E84820">
        <w:rPr>
          <w:rFonts w:eastAsia="Calibri" w:cs="Calibri"/>
          <w:color w:val="000000"/>
          <w:szCs w:val="22"/>
        </w:rPr>
        <w:t>floorspace</w:t>
      </w:r>
      <w:proofErr w:type="spellEnd"/>
      <w:r w:rsidRPr="00E84820">
        <w:rPr>
          <w:rFonts w:eastAsia="Calibri" w:cs="Calibri"/>
          <w:color w:val="000000"/>
          <w:szCs w:val="22"/>
        </w:rPr>
        <w:t xml:space="preserve"> that would facilitate an increase in student numbers at the two Universities should be matched by an equivalent increase in student accommodation. Planning permission was granted for 3,225m2 of new academic </w:t>
      </w:r>
      <w:proofErr w:type="spellStart"/>
      <w:r w:rsidRPr="00E84820">
        <w:rPr>
          <w:rFonts w:eastAsia="Calibri" w:cs="Calibri"/>
          <w:color w:val="000000"/>
          <w:szCs w:val="22"/>
        </w:rPr>
        <w:t>floorspace</w:t>
      </w:r>
      <w:proofErr w:type="spellEnd"/>
      <w:r w:rsidRPr="00E84820">
        <w:rPr>
          <w:rFonts w:eastAsia="Calibri" w:cs="Calibri"/>
          <w:color w:val="000000"/>
          <w:szCs w:val="22"/>
        </w:rPr>
        <w:t xml:space="preserve"> for The University of </w:t>
      </w:r>
      <w:proofErr w:type="gramStart"/>
      <w:r w:rsidRPr="00E84820">
        <w:rPr>
          <w:rFonts w:eastAsia="Calibri" w:cs="Calibri"/>
          <w:color w:val="000000"/>
          <w:szCs w:val="22"/>
        </w:rPr>
        <w:t>Oxford,</w:t>
      </w:r>
      <w:proofErr w:type="gramEnd"/>
      <w:r w:rsidRPr="00E84820">
        <w:rPr>
          <w:rFonts w:eastAsia="Calibri" w:cs="Calibri"/>
          <w:color w:val="000000"/>
          <w:szCs w:val="22"/>
        </w:rPr>
        <w:t xml:space="preserve"> however this was an application for a temporary building to deal with the closure of another building. Both the University of Oxford and Oxford Brookes University have exceeded their Core Strategy target in the 2017/18 monitoring year however permission was granted for a total of 1,978 new student rooms between the two universities. </w:t>
      </w:r>
    </w:p>
    <w:p w:rsidR="00FD3F6A" w:rsidRPr="00E84820" w:rsidRDefault="00FD3F6A" w:rsidP="00FD3F6A">
      <w:pPr>
        <w:pStyle w:val="ListParagraph"/>
        <w:rPr>
          <w:rFonts w:eastAsia="Calibri" w:cs="Calibri"/>
          <w:color w:val="000000"/>
          <w:szCs w:val="22"/>
        </w:rPr>
      </w:pP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FD3F6A">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In 2017/18, the University of Oxford had 3,174 students living outside of university provided accommodation in Oxford. Oxford Brookes University had 4,089 students living outside of university provided accommodation in Oxford in 2017/18, a decrease of 91 students when compared to the previous monitoring year. This information was provided to the City Council in late August/early September 2017. This information would be a key consideration in determining any planning applications for new or redeveloped academic </w:t>
      </w:r>
      <w:proofErr w:type="spellStart"/>
      <w:r w:rsidRPr="00E84820">
        <w:rPr>
          <w:rFonts w:eastAsia="Calibri" w:cs="Calibri"/>
          <w:color w:val="000000"/>
          <w:szCs w:val="22"/>
        </w:rPr>
        <w:t>floorspace</w:t>
      </w:r>
      <w:proofErr w:type="spellEnd"/>
      <w:r w:rsidRPr="00E84820">
        <w:rPr>
          <w:rFonts w:eastAsia="Calibri" w:cs="Calibri"/>
          <w:color w:val="000000"/>
          <w:szCs w:val="22"/>
        </w:rPr>
        <w:t xml:space="preserve"> that may be submitted by the universities. </w:t>
      </w: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FD3F6A">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Oxford Brookes University has commented that they have continued to exceed the 3,000 target due to an increasingly volatile higher education market and changes in student behaviour since the introduction of the £9,000 undergraduate fee in 2012. Oxford Brookes has identified that the proportion of students who decide to live in Oxford has increased from around 64% in 2010 to well over 70% in 2016, meaning that their residential halls (including university owned </w:t>
      </w:r>
      <w:r w:rsidRPr="00E84820">
        <w:rPr>
          <w:rFonts w:eastAsia="Calibri" w:cs="Calibri"/>
          <w:color w:val="000000"/>
          <w:szCs w:val="22"/>
        </w:rPr>
        <w:lastRenderedPageBreak/>
        <w:t>and those under nomination agreements) cannot meet this increased demand. (Further information is provided under Indicator 17 of the AMR, which is attached as Appendix 1.)  It is anticipated that these trends are set to continue. Oxford Brookes University is therefore currently working on a fully revised student accommodation strategy, taking into account these fundamental shifts in the makeup of the student body and the consequential impact on the accommodation the University needs to provide to ensure it can meet the 3,000 target.</w:t>
      </w:r>
    </w:p>
    <w:p w:rsidR="00FD3F6A" w:rsidRPr="00E84820" w:rsidRDefault="00FD3F6A" w:rsidP="00FD3F6A">
      <w:pPr>
        <w:pStyle w:val="ListParagraph"/>
        <w:rPr>
          <w:rFonts w:eastAsia="Calibri" w:cs="Calibri"/>
          <w:color w:val="000000"/>
          <w:szCs w:val="22"/>
        </w:rPr>
      </w:pP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FD3F6A">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In the 2017/18 monitoring year 472 (net) units of student accommodation were completed in Oxford. Planning permission was granted for a further 1,978 (net) units of student accommodation in 2017/18. </w:t>
      </w:r>
    </w:p>
    <w:p w:rsidR="00711DF0" w:rsidRPr="00E84820" w:rsidRDefault="00711DF0" w:rsidP="00FD3F6A">
      <w:pPr>
        <w:pStyle w:val="ListParagraph"/>
        <w:spacing w:after="200" w:line="276" w:lineRule="auto"/>
        <w:ind w:left="567"/>
        <w:contextualSpacing w:val="0"/>
        <w:jc w:val="both"/>
        <w:rPr>
          <w:rFonts w:eastAsia="Calibri" w:cs="Calibri"/>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84820" w:rsidTr="00126779">
        <w:tc>
          <w:tcPr>
            <w:tcW w:w="4077" w:type="dxa"/>
            <w:shd w:val="clear" w:color="auto" w:fill="F2DCDB"/>
          </w:tcPr>
          <w:p w:rsidR="00711DF0" w:rsidRPr="00E84820" w:rsidRDefault="00711DF0" w:rsidP="00126779">
            <w:pPr>
              <w:rPr>
                <w:b/>
                <w:sz w:val="4"/>
                <w:szCs w:val="4"/>
              </w:rPr>
            </w:pPr>
          </w:p>
          <w:p w:rsidR="00711DF0" w:rsidRPr="00E84820" w:rsidRDefault="00711DF0" w:rsidP="00126779">
            <w:pPr>
              <w:rPr>
                <w:b/>
              </w:rPr>
            </w:pPr>
            <w:r w:rsidRPr="00E84820">
              <w:rPr>
                <w:b/>
                <w:sz w:val="28"/>
              </w:rPr>
              <w:t xml:space="preserve">Strong and Active Communities </w:t>
            </w:r>
          </w:p>
        </w:tc>
        <w:tc>
          <w:tcPr>
            <w:tcW w:w="1721" w:type="dxa"/>
            <w:shd w:val="clear" w:color="auto" w:fill="F2DCDB"/>
          </w:tcPr>
          <w:p w:rsidR="00711DF0" w:rsidRPr="00E84820" w:rsidRDefault="00711DF0" w:rsidP="00126779">
            <w:pPr>
              <w:jc w:val="center"/>
              <w:rPr>
                <w:b/>
                <w:noProof/>
                <w:sz w:val="4"/>
                <w:szCs w:val="4"/>
                <w:lang w:eastAsia="en-GB"/>
              </w:rPr>
            </w:pPr>
          </w:p>
          <w:p w:rsidR="00711DF0" w:rsidRPr="00E84820" w:rsidRDefault="00711DF0" w:rsidP="00126779">
            <w:pPr>
              <w:jc w:val="center"/>
              <w:rPr>
                <w:sz w:val="4"/>
                <w:szCs w:val="4"/>
              </w:rPr>
            </w:pPr>
            <w:r w:rsidRPr="00E84820">
              <w:rPr>
                <w:b/>
                <w:noProof/>
                <w:sz w:val="32"/>
                <w:szCs w:val="32"/>
                <w:lang w:eastAsia="en-GB"/>
              </w:rPr>
              <w:drawing>
                <wp:inline distT="0" distB="0" distL="0" distR="0" wp14:anchorId="3501A243" wp14:editId="1ABAB471">
                  <wp:extent cx="819150" cy="256182"/>
                  <wp:effectExtent l="0" t="0" r="0" b="0"/>
                  <wp:docPr id="30" name="Picture 3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11DF0" w:rsidRPr="00E84820" w:rsidRDefault="00711DF0" w:rsidP="00126779">
            <w:pPr>
              <w:jc w:val="center"/>
              <w:rPr>
                <w:szCs w:val="22"/>
              </w:rPr>
            </w:pPr>
            <w:r w:rsidRPr="00E84820">
              <w:rPr>
                <w:szCs w:val="22"/>
              </w:rPr>
              <w:t>3 (100%)</w:t>
            </w:r>
          </w:p>
        </w:tc>
        <w:tc>
          <w:tcPr>
            <w:tcW w:w="1722" w:type="dxa"/>
            <w:shd w:val="clear" w:color="auto" w:fill="F2DCDB"/>
          </w:tcPr>
          <w:p w:rsidR="00711DF0" w:rsidRPr="00E84820" w:rsidRDefault="00711DF0" w:rsidP="00126779">
            <w:pPr>
              <w:jc w:val="center"/>
              <w:rPr>
                <w:sz w:val="4"/>
                <w:szCs w:val="4"/>
              </w:rPr>
            </w:pPr>
          </w:p>
          <w:p w:rsidR="00711DF0" w:rsidRPr="00E84820" w:rsidRDefault="00711DF0" w:rsidP="00126779">
            <w:pPr>
              <w:jc w:val="center"/>
            </w:pPr>
            <w:r w:rsidRPr="00E84820">
              <w:rPr>
                <w:b/>
                <w:noProof/>
                <w:sz w:val="32"/>
                <w:szCs w:val="32"/>
                <w:lang w:eastAsia="en-GB"/>
              </w:rPr>
              <w:drawing>
                <wp:inline distT="0" distB="0" distL="0" distR="0" wp14:anchorId="07A90D33" wp14:editId="7B6C0F34">
                  <wp:extent cx="819509" cy="255580"/>
                  <wp:effectExtent l="0" t="0" r="0" b="0"/>
                  <wp:docPr id="224" name="Picture 22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711DF0" w:rsidRPr="00E84820" w:rsidRDefault="00711DF0" w:rsidP="00126779">
            <w:pPr>
              <w:jc w:val="center"/>
            </w:pPr>
            <w:r w:rsidRPr="00E84820">
              <w:rPr>
                <w:szCs w:val="22"/>
              </w:rPr>
              <w:t>0 (0%)</w:t>
            </w:r>
          </w:p>
        </w:tc>
        <w:tc>
          <w:tcPr>
            <w:tcW w:w="1722" w:type="dxa"/>
            <w:shd w:val="clear" w:color="auto" w:fill="F2DCDB"/>
          </w:tcPr>
          <w:p w:rsidR="00711DF0" w:rsidRPr="00E84820" w:rsidRDefault="00711DF0" w:rsidP="00126779">
            <w:pPr>
              <w:jc w:val="center"/>
              <w:rPr>
                <w:noProof/>
                <w:sz w:val="4"/>
                <w:szCs w:val="4"/>
                <w:lang w:eastAsia="en-GB"/>
              </w:rPr>
            </w:pPr>
          </w:p>
          <w:p w:rsidR="00711DF0" w:rsidRPr="00E84820" w:rsidRDefault="00711DF0" w:rsidP="00126779">
            <w:pPr>
              <w:jc w:val="center"/>
              <w:rPr>
                <w:sz w:val="4"/>
                <w:szCs w:val="4"/>
              </w:rPr>
            </w:pPr>
            <w:r w:rsidRPr="00E84820">
              <w:rPr>
                <w:noProof/>
                <w:lang w:eastAsia="en-GB"/>
              </w:rPr>
              <w:drawing>
                <wp:inline distT="0" distB="0" distL="0" distR="0" wp14:anchorId="7B902823" wp14:editId="6460B648">
                  <wp:extent cx="819150" cy="256297"/>
                  <wp:effectExtent l="0" t="0" r="0" b="0"/>
                  <wp:docPr id="225" name="Picture 225"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711DF0" w:rsidRPr="00E84820" w:rsidRDefault="00711DF0" w:rsidP="00126779">
            <w:pPr>
              <w:jc w:val="center"/>
            </w:pPr>
            <w:r w:rsidRPr="00E84820">
              <w:rPr>
                <w:szCs w:val="22"/>
              </w:rPr>
              <w:t>0 (0%)</w:t>
            </w:r>
          </w:p>
        </w:tc>
      </w:tr>
    </w:tbl>
    <w:p w:rsidR="00711DF0" w:rsidRPr="00E84820" w:rsidRDefault="00711DF0" w:rsidP="00711DF0">
      <w:pPr>
        <w:spacing w:line="276" w:lineRule="auto"/>
        <w:jc w:val="both"/>
        <w:rPr>
          <w:rFonts w:eastAsia="Calibri" w:cs="Calibri"/>
          <w:color w:val="000000"/>
          <w:szCs w:val="22"/>
        </w:rPr>
      </w:pPr>
    </w:p>
    <w:p w:rsidR="00FD3F6A" w:rsidRPr="00E84820" w:rsidRDefault="00FD3F6A" w:rsidP="00FD3F6A">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Significant progress has been made towards delivering new homes at Barton Park. Phase 1 of the development (237 dwellings) commenced on site in January 2017. Phase 1 includes 40% affordable housing (95 units), all of which will be provided as social rent. Two further reserved matters applications for community sports facilities and a community sports pavilion were approved in April and December 2016. Work is on-going to bring forward the subsequent phases of development. The delivery of Barton Park will help to support the regeneration of the wider Barton and Northway areas. The first homes were marketed for sale in September 2017, with the first residents moving into Phase 1 of the development in July 2018. Work is on-going to bring forward the subsequent phases of development. In February 2018, Grosvenor announced house builder </w:t>
      </w:r>
      <w:proofErr w:type="spellStart"/>
      <w:r w:rsidRPr="00E84820">
        <w:rPr>
          <w:rFonts w:eastAsia="Calibri" w:cs="Calibri"/>
          <w:color w:val="000000"/>
          <w:szCs w:val="22"/>
        </w:rPr>
        <w:t>Redrow</w:t>
      </w:r>
      <w:proofErr w:type="spellEnd"/>
      <w:r w:rsidRPr="00E84820">
        <w:rPr>
          <w:rFonts w:eastAsia="Calibri" w:cs="Calibri"/>
          <w:color w:val="000000"/>
          <w:szCs w:val="22"/>
        </w:rPr>
        <w:t xml:space="preserve"> Homes had been appointed to deliver over 200 further dwellings for the second phase of the development.</w:t>
      </w: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FD3F6A">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Northern Gateway Development: Although outside this monitoring period it should be noted that in June 2018 it was announced that the development was to be renamed ‘Oxford North’.  The plans for the project were also revealed and detail that the development would deliver up to 87,000sqm of workspace, 4,500 new jobs, 480 homes (both market and affordable) and 23 acres of open spaces including three new parks . These plans were open to consultation in July 2018, closing for comments on 22nd July.  A hybrid planning application (18/02065/OUTFUL) was subsequently received towards the end of July 2018 consisting of an outline and full application. The outline application was largely akin to what was publicly consulted on and is for up to 87,300sqm, up to 550m of community space, up to 2,500m of mixed A Class uses, up to a 180 bedroom hotel and up to 480 residential units as well as associated works, including the provision of a new link road between the A44 and A40. The full part of the application is for 15,850m Class B1 </w:t>
      </w:r>
      <w:proofErr w:type="spellStart"/>
      <w:r w:rsidRPr="00E84820">
        <w:rPr>
          <w:rFonts w:eastAsia="Calibri" w:cs="Calibri"/>
          <w:color w:val="000000"/>
          <w:szCs w:val="22"/>
        </w:rPr>
        <w:t>floorspace</w:t>
      </w:r>
      <w:proofErr w:type="spellEnd"/>
      <w:r w:rsidRPr="00E84820">
        <w:rPr>
          <w:rFonts w:eastAsia="Calibri" w:cs="Calibri"/>
          <w:color w:val="000000"/>
          <w:szCs w:val="22"/>
        </w:rPr>
        <w:t xml:space="preserve"> and associated works. </w:t>
      </w:r>
    </w:p>
    <w:p w:rsidR="00FD3F6A" w:rsidRPr="00E84820" w:rsidRDefault="00FD3F6A" w:rsidP="00FD3F6A">
      <w:pPr>
        <w:pStyle w:val="ListParagraph"/>
        <w:rPr>
          <w:rFonts w:eastAsia="Calibri" w:cs="Calibri"/>
          <w:color w:val="000000"/>
          <w:szCs w:val="22"/>
        </w:rPr>
      </w:pPr>
    </w:p>
    <w:p w:rsidR="00FD3F6A" w:rsidRPr="00E84820" w:rsidRDefault="00FD3F6A" w:rsidP="00FD3F6A">
      <w:pPr>
        <w:pStyle w:val="ListParagraph"/>
        <w:spacing w:after="200" w:line="276" w:lineRule="auto"/>
        <w:ind w:left="360"/>
        <w:jc w:val="both"/>
        <w:rPr>
          <w:rFonts w:eastAsia="Calibri" w:cs="Calibri"/>
          <w:color w:val="000000"/>
          <w:szCs w:val="22"/>
        </w:rPr>
      </w:pPr>
    </w:p>
    <w:p w:rsidR="00FD3F6A" w:rsidRPr="00E84820" w:rsidRDefault="00FD3F6A" w:rsidP="00FD3F6A">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The </w:t>
      </w:r>
      <w:proofErr w:type="spellStart"/>
      <w:r w:rsidRPr="00E84820">
        <w:rPr>
          <w:rFonts w:eastAsia="Calibri" w:cs="Calibri"/>
          <w:color w:val="000000"/>
          <w:szCs w:val="22"/>
        </w:rPr>
        <w:t>Oxpens</w:t>
      </w:r>
      <w:proofErr w:type="spellEnd"/>
      <w:r w:rsidRPr="00E84820">
        <w:rPr>
          <w:rFonts w:eastAsia="Calibri" w:cs="Calibri"/>
          <w:color w:val="000000"/>
          <w:szCs w:val="22"/>
        </w:rPr>
        <w:t xml:space="preserve"> SPD was adopted in 2013. Oxford West End Development Limited (‘OXWED’), a joint venture between Oxford City Council and Nuffield College has been formed to deliver the development of this site. The site could deliver up to 500 new homes; retail; up to 10,400m2 of </w:t>
      </w:r>
      <w:r w:rsidRPr="00E84820">
        <w:rPr>
          <w:rFonts w:eastAsia="Calibri" w:cs="Calibri"/>
          <w:color w:val="000000"/>
          <w:szCs w:val="22"/>
        </w:rPr>
        <w:lastRenderedPageBreak/>
        <w:t xml:space="preserve">B1a offices and B1b research and development </w:t>
      </w:r>
      <w:proofErr w:type="spellStart"/>
      <w:r w:rsidRPr="00E84820">
        <w:rPr>
          <w:rFonts w:eastAsia="Calibri" w:cs="Calibri"/>
          <w:color w:val="000000"/>
          <w:szCs w:val="22"/>
        </w:rPr>
        <w:t>floorspace</w:t>
      </w:r>
      <w:proofErr w:type="spellEnd"/>
      <w:r w:rsidRPr="00E84820">
        <w:rPr>
          <w:rFonts w:eastAsia="Calibri" w:cs="Calibri"/>
          <w:color w:val="000000"/>
          <w:szCs w:val="22"/>
        </w:rPr>
        <w:t xml:space="preserve">; a hotel with around 155 bedrooms; and student accommodation. An application (16/02945/FUL) for student accommodation with 500 rooms and small-scale retail and office units  went to planning committee in March 2017; planning committee resolved to grant permission subject to legal agreements. Since permission was granted in 2017, demolition work for the Student Castle Scheme has now commenced on site with the intention completion in 2020. Additionally, OXWED has gone to the open market to seek a development partner for the wider masterplan area. It is anticipated the development partner will be in place by the end of 2018. </w:t>
      </w:r>
    </w:p>
    <w:p w:rsidR="00FD3F6A" w:rsidRPr="00E84820" w:rsidRDefault="00FD3F6A" w:rsidP="00FD3F6A">
      <w:pPr>
        <w:pStyle w:val="ListParagraph"/>
        <w:spacing w:after="200" w:line="276" w:lineRule="auto"/>
        <w:ind w:left="360"/>
        <w:jc w:val="both"/>
        <w:rPr>
          <w:rFonts w:eastAsia="Calibri" w:cs="Calibri"/>
          <w:color w:val="000000"/>
          <w:szCs w:val="22"/>
        </w:rPr>
      </w:pPr>
    </w:p>
    <w:p w:rsidR="00711DF0" w:rsidRPr="00E84820" w:rsidRDefault="00FD3F6A" w:rsidP="00E84820">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Work on bringing forward the redevelopment of Oxford train station continued during 2017/18.  The Supplementary Planning Document (SPD) builds on work carried out for the Oxford Station Masterplan and an architectural competition held in 2016. The City Council produced a Draft Oxford Station Supplementary Planning Document (SPD) that was consulted on during summer 2017. Following this consultation, the Oxford Station SPD was adopted in November 2017.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906EC" w:rsidTr="00126779">
        <w:tc>
          <w:tcPr>
            <w:tcW w:w="4077" w:type="dxa"/>
            <w:shd w:val="clear" w:color="auto" w:fill="C3D69B"/>
          </w:tcPr>
          <w:p w:rsidR="00711DF0" w:rsidRPr="00E84820" w:rsidRDefault="00711DF0" w:rsidP="00126779">
            <w:pPr>
              <w:rPr>
                <w:b/>
                <w:sz w:val="4"/>
                <w:szCs w:val="4"/>
              </w:rPr>
            </w:pPr>
          </w:p>
          <w:p w:rsidR="00711DF0" w:rsidRPr="00E84820" w:rsidRDefault="00711DF0" w:rsidP="00126779">
            <w:pPr>
              <w:rPr>
                <w:b/>
              </w:rPr>
            </w:pPr>
            <w:r w:rsidRPr="00E84820">
              <w:rPr>
                <w:b/>
                <w:sz w:val="28"/>
              </w:rPr>
              <w:t>A Clean and Green Oxford</w:t>
            </w:r>
          </w:p>
        </w:tc>
        <w:tc>
          <w:tcPr>
            <w:tcW w:w="1721" w:type="dxa"/>
            <w:shd w:val="clear" w:color="auto" w:fill="C3D69B"/>
          </w:tcPr>
          <w:p w:rsidR="00711DF0" w:rsidRPr="00E84820" w:rsidRDefault="00711DF0" w:rsidP="00126779">
            <w:pPr>
              <w:jc w:val="center"/>
              <w:rPr>
                <w:b/>
                <w:noProof/>
                <w:sz w:val="4"/>
                <w:szCs w:val="4"/>
                <w:lang w:eastAsia="en-GB"/>
              </w:rPr>
            </w:pPr>
          </w:p>
          <w:p w:rsidR="00711DF0" w:rsidRPr="00E84820" w:rsidRDefault="00711DF0" w:rsidP="00126779">
            <w:pPr>
              <w:jc w:val="center"/>
              <w:rPr>
                <w:sz w:val="4"/>
                <w:szCs w:val="4"/>
              </w:rPr>
            </w:pPr>
            <w:r w:rsidRPr="00E84820">
              <w:rPr>
                <w:b/>
                <w:noProof/>
                <w:sz w:val="32"/>
                <w:szCs w:val="32"/>
                <w:lang w:eastAsia="en-GB"/>
              </w:rPr>
              <w:drawing>
                <wp:inline distT="0" distB="0" distL="0" distR="0" wp14:anchorId="6D3DD3D3" wp14:editId="77F44687">
                  <wp:extent cx="819150" cy="256182"/>
                  <wp:effectExtent l="0" t="0" r="0" b="0"/>
                  <wp:docPr id="226" name="Picture 2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11DF0" w:rsidRPr="00E84820" w:rsidRDefault="00E84820" w:rsidP="00126779">
            <w:pPr>
              <w:jc w:val="center"/>
              <w:rPr>
                <w:szCs w:val="22"/>
              </w:rPr>
            </w:pPr>
            <w:r w:rsidRPr="00E84820">
              <w:rPr>
                <w:szCs w:val="22"/>
              </w:rPr>
              <w:t>8</w:t>
            </w:r>
            <w:r w:rsidR="00711DF0" w:rsidRPr="00E84820">
              <w:rPr>
                <w:szCs w:val="22"/>
              </w:rPr>
              <w:t xml:space="preserve"> (</w:t>
            </w:r>
            <w:r w:rsidRPr="00E84820">
              <w:rPr>
                <w:szCs w:val="22"/>
              </w:rPr>
              <w:t>89</w:t>
            </w:r>
            <w:r w:rsidR="00711DF0" w:rsidRPr="00E84820">
              <w:rPr>
                <w:szCs w:val="22"/>
              </w:rPr>
              <w:t>%)</w:t>
            </w:r>
          </w:p>
        </w:tc>
        <w:tc>
          <w:tcPr>
            <w:tcW w:w="1722" w:type="dxa"/>
            <w:shd w:val="clear" w:color="auto" w:fill="C3D69B"/>
          </w:tcPr>
          <w:p w:rsidR="00711DF0" w:rsidRPr="00E84820" w:rsidRDefault="00711DF0" w:rsidP="00126779">
            <w:pPr>
              <w:jc w:val="center"/>
              <w:rPr>
                <w:sz w:val="4"/>
                <w:szCs w:val="4"/>
              </w:rPr>
            </w:pPr>
          </w:p>
          <w:p w:rsidR="00711DF0" w:rsidRPr="00E84820" w:rsidRDefault="00711DF0" w:rsidP="00126779">
            <w:pPr>
              <w:jc w:val="center"/>
            </w:pPr>
            <w:r w:rsidRPr="00E84820">
              <w:rPr>
                <w:b/>
                <w:noProof/>
                <w:sz w:val="32"/>
                <w:szCs w:val="32"/>
                <w:lang w:eastAsia="en-GB"/>
              </w:rPr>
              <w:drawing>
                <wp:inline distT="0" distB="0" distL="0" distR="0" wp14:anchorId="71429310" wp14:editId="2210CDEB">
                  <wp:extent cx="819509" cy="255580"/>
                  <wp:effectExtent l="0" t="0" r="0" b="0"/>
                  <wp:docPr id="227" name="Picture 22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711DF0" w:rsidRPr="00E84820" w:rsidRDefault="00711DF0" w:rsidP="00126779">
            <w:pPr>
              <w:jc w:val="center"/>
            </w:pPr>
            <w:r w:rsidRPr="00E84820">
              <w:rPr>
                <w:szCs w:val="22"/>
              </w:rPr>
              <w:t>1 (11%)</w:t>
            </w:r>
          </w:p>
        </w:tc>
        <w:tc>
          <w:tcPr>
            <w:tcW w:w="1722" w:type="dxa"/>
            <w:shd w:val="clear" w:color="auto" w:fill="C3D69B"/>
          </w:tcPr>
          <w:p w:rsidR="00711DF0" w:rsidRPr="00E84820" w:rsidRDefault="00711DF0" w:rsidP="00126779">
            <w:pPr>
              <w:jc w:val="center"/>
              <w:rPr>
                <w:noProof/>
                <w:sz w:val="4"/>
                <w:szCs w:val="4"/>
                <w:lang w:eastAsia="en-GB"/>
              </w:rPr>
            </w:pPr>
          </w:p>
          <w:p w:rsidR="00711DF0" w:rsidRPr="00E84820" w:rsidRDefault="00711DF0" w:rsidP="00126779">
            <w:pPr>
              <w:jc w:val="center"/>
              <w:rPr>
                <w:sz w:val="4"/>
                <w:szCs w:val="4"/>
              </w:rPr>
            </w:pPr>
            <w:r w:rsidRPr="00E84820">
              <w:rPr>
                <w:noProof/>
                <w:lang w:eastAsia="en-GB"/>
              </w:rPr>
              <w:drawing>
                <wp:inline distT="0" distB="0" distL="0" distR="0" wp14:anchorId="79B862A5" wp14:editId="31AD4F93">
                  <wp:extent cx="819150" cy="256297"/>
                  <wp:effectExtent l="0" t="0" r="0" b="0"/>
                  <wp:docPr id="228" name="Picture 22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711DF0" w:rsidRPr="00E84820" w:rsidRDefault="00E84820" w:rsidP="00126779">
            <w:pPr>
              <w:jc w:val="center"/>
            </w:pPr>
            <w:r w:rsidRPr="00E84820">
              <w:rPr>
                <w:szCs w:val="22"/>
              </w:rPr>
              <w:t>0</w:t>
            </w:r>
            <w:r w:rsidR="00711DF0" w:rsidRPr="00E84820">
              <w:rPr>
                <w:szCs w:val="22"/>
              </w:rPr>
              <w:t xml:space="preserve"> (</w:t>
            </w:r>
            <w:r w:rsidRPr="00E84820">
              <w:rPr>
                <w:szCs w:val="22"/>
              </w:rPr>
              <w:t>0</w:t>
            </w:r>
            <w:r w:rsidR="00711DF0" w:rsidRPr="00E84820">
              <w:rPr>
                <w:szCs w:val="22"/>
              </w:rPr>
              <w:t>%)</w:t>
            </w:r>
          </w:p>
        </w:tc>
      </w:tr>
    </w:tbl>
    <w:p w:rsidR="00711DF0" w:rsidRPr="00E906EC" w:rsidRDefault="00711DF0" w:rsidP="00711DF0">
      <w:pPr>
        <w:spacing w:line="276" w:lineRule="auto"/>
        <w:jc w:val="both"/>
        <w:rPr>
          <w:rFonts w:eastAsia="Calibri" w:cs="Calibri"/>
          <w:color w:val="000000"/>
          <w:sz w:val="16"/>
          <w:szCs w:val="22"/>
          <w:highlight w:val="yellow"/>
        </w:rPr>
      </w:pPr>
    </w:p>
    <w:p w:rsidR="00E84820" w:rsidRDefault="00E84820" w:rsidP="00E84820">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Planning policies are continuing to protect and enhance Oxford’s natural environment. There has been no loss of public open space or areas of biodiversity importance during 2017/18. </w:t>
      </w:r>
    </w:p>
    <w:p w:rsidR="00E84820" w:rsidRPr="00E84820" w:rsidRDefault="00E84820" w:rsidP="00E84820">
      <w:pPr>
        <w:pStyle w:val="ListParagraph"/>
        <w:spacing w:after="200" w:line="276" w:lineRule="auto"/>
        <w:ind w:left="360"/>
        <w:jc w:val="both"/>
        <w:rPr>
          <w:rFonts w:eastAsia="Calibri" w:cs="Calibri"/>
          <w:color w:val="000000"/>
          <w:szCs w:val="22"/>
        </w:rPr>
      </w:pPr>
    </w:p>
    <w:p w:rsidR="008D5175" w:rsidRPr="008D5175" w:rsidRDefault="00E84820" w:rsidP="008D5175">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Planning policies are effectively ensuring onsite renewable energy generation on qualifying schemes with 20% on-site renewable energy generation being achieved on all qualifying sites in 2017/18.</w:t>
      </w:r>
    </w:p>
    <w:p w:rsidR="00711DF0" w:rsidRPr="0071506B" w:rsidRDefault="00E84820" w:rsidP="00711DF0">
      <w:pPr>
        <w:pStyle w:val="ListParagraph"/>
        <w:numPr>
          <w:ilvl w:val="1"/>
          <w:numId w:val="1"/>
        </w:numPr>
        <w:spacing w:after="200" w:line="276" w:lineRule="auto"/>
        <w:jc w:val="both"/>
        <w:rPr>
          <w:rFonts w:eastAsia="Calibri" w:cs="Calibri"/>
          <w:color w:val="000000"/>
          <w:szCs w:val="22"/>
        </w:rPr>
      </w:pPr>
      <w:r w:rsidRPr="00E84820">
        <w:rPr>
          <w:rFonts w:eastAsia="Calibri" w:cs="Calibri"/>
          <w:color w:val="000000"/>
          <w:szCs w:val="22"/>
        </w:rPr>
        <w:t xml:space="preserve">The only indicator where the target has not been met relates to planning appeals where conservation areas were cited as a reason for refusal. Eight appeals were determined in 2017/18 where these policies were cited as one of the reasons for refusal. Of these five were dismissed (63%). In the three cases where the appeals were upheld, the Inspector determined that the proposals would not result in overall harm to the heritage context.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2113"/>
        <w:gridCol w:w="2115"/>
      </w:tblGrid>
      <w:tr w:rsidR="00711DF0" w:rsidRPr="00E906EC" w:rsidTr="00126779">
        <w:trPr>
          <w:trHeight w:val="675"/>
        </w:trPr>
        <w:tc>
          <w:tcPr>
            <w:tcW w:w="5006" w:type="dxa"/>
            <w:shd w:val="clear" w:color="auto" w:fill="E5DFEC" w:themeFill="accent4" w:themeFillTint="33"/>
          </w:tcPr>
          <w:p w:rsidR="00711DF0" w:rsidRPr="00E906EC" w:rsidRDefault="00711DF0" w:rsidP="00126779">
            <w:pPr>
              <w:rPr>
                <w:b/>
                <w:sz w:val="4"/>
                <w:szCs w:val="4"/>
                <w:highlight w:val="yellow"/>
              </w:rPr>
            </w:pPr>
          </w:p>
          <w:p w:rsidR="00711DF0" w:rsidRPr="00E906EC" w:rsidRDefault="00711DF0" w:rsidP="00126779">
            <w:pPr>
              <w:rPr>
                <w:b/>
                <w:sz w:val="28"/>
                <w:highlight w:val="yellow"/>
              </w:rPr>
            </w:pPr>
            <w:r w:rsidRPr="00E84820">
              <w:rPr>
                <w:b/>
                <w:sz w:val="28"/>
              </w:rPr>
              <w:t>An Efficient and Effective Council</w:t>
            </w:r>
          </w:p>
          <w:p w:rsidR="00711DF0" w:rsidRPr="00E906EC" w:rsidRDefault="00711DF0" w:rsidP="00126779">
            <w:pPr>
              <w:rPr>
                <w:b/>
                <w:highlight w:val="yellow"/>
              </w:rPr>
            </w:pPr>
          </w:p>
        </w:tc>
        <w:tc>
          <w:tcPr>
            <w:tcW w:w="2113" w:type="dxa"/>
            <w:shd w:val="clear" w:color="auto" w:fill="E5DFEC" w:themeFill="accent4" w:themeFillTint="33"/>
          </w:tcPr>
          <w:p w:rsidR="00711DF0" w:rsidRPr="00E906EC" w:rsidRDefault="00711DF0" w:rsidP="00126779">
            <w:pPr>
              <w:jc w:val="center"/>
              <w:rPr>
                <w:szCs w:val="22"/>
                <w:highlight w:val="yellow"/>
              </w:rPr>
            </w:pPr>
          </w:p>
          <w:p w:rsidR="00711DF0" w:rsidRPr="00E906EC" w:rsidRDefault="00711DF0" w:rsidP="00126779">
            <w:pPr>
              <w:jc w:val="center"/>
              <w:rPr>
                <w:szCs w:val="22"/>
                <w:highlight w:val="yellow"/>
              </w:rPr>
            </w:pPr>
          </w:p>
        </w:tc>
        <w:tc>
          <w:tcPr>
            <w:tcW w:w="2115" w:type="dxa"/>
            <w:shd w:val="clear" w:color="auto" w:fill="E5DFEC" w:themeFill="accent4" w:themeFillTint="33"/>
          </w:tcPr>
          <w:p w:rsidR="00711DF0" w:rsidRPr="00E906EC" w:rsidRDefault="00711DF0" w:rsidP="00126779">
            <w:pPr>
              <w:jc w:val="center"/>
              <w:rPr>
                <w:highlight w:val="yellow"/>
              </w:rPr>
            </w:pPr>
          </w:p>
        </w:tc>
      </w:tr>
    </w:tbl>
    <w:p w:rsidR="00711DF0" w:rsidRPr="00E906EC" w:rsidRDefault="00711DF0" w:rsidP="00711DF0">
      <w:pPr>
        <w:spacing w:line="276" w:lineRule="auto"/>
        <w:jc w:val="both"/>
        <w:rPr>
          <w:rFonts w:eastAsia="Calibri" w:cs="Times New Roman"/>
          <w:sz w:val="14"/>
          <w:szCs w:val="22"/>
          <w:highlight w:val="yellow"/>
        </w:rPr>
      </w:pPr>
    </w:p>
    <w:p w:rsidR="00E84820" w:rsidRDefault="00E84820" w:rsidP="00E84820">
      <w:pPr>
        <w:pStyle w:val="ListParagraph"/>
        <w:numPr>
          <w:ilvl w:val="1"/>
          <w:numId w:val="1"/>
        </w:numPr>
        <w:spacing w:after="200" w:line="276" w:lineRule="auto"/>
        <w:jc w:val="both"/>
      </w:pPr>
      <w:r>
        <w:t xml:space="preserve">Work on the emerging Oxford Local Plan 2036 has continued during 2016/17. The Local Plan will provide a long-term planning framework to deliver the managed growth of Oxford to 2036. This is an exciting opportunity to review planning policy aspirations and strategies to best meet the current and future needs of the city. The preferred options consultation was carried out in </w:t>
      </w:r>
      <w:proofErr w:type="gramStart"/>
      <w:r>
        <w:t>Summer</w:t>
      </w:r>
      <w:proofErr w:type="gramEnd"/>
      <w:r>
        <w:t xml:space="preserve"> 2017 in line with the LDS timescales.  Following the close of the consultation the results were summarised and taken into consideration in the production of the Oxford Local Plan Proposed Submission Document.  </w:t>
      </w:r>
    </w:p>
    <w:p w:rsidR="00E84820" w:rsidRDefault="00E84820" w:rsidP="00E84820">
      <w:pPr>
        <w:pStyle w:val="ListParagraph"/>
        <w:spacing w:after="200" w:line="276" w:lineRule="auto"/>
        <w:ind w:left="360"/>
        <w:jc w:val="both"/>
      </w:pPr>
    </w:p>
    <w:p w:rsidR="00E84820" w:rsidRDefault="00E84820" w:rsidP="00E84820">
      <w:pPr>
        <w:pStyle w:val="ListParagraph"/>
        <w:numPr>
          <w:ilvl w:val="1"/>
          <w:numId w:val="1"/>
        </w:numPr>
        <w:spacing w:after="200" w:line="276" w:lineRule="auto"/>
        <w:jc w:val="both"/>
      </w:pPr>
      <w:r>
        <w:t xml:space="preserve">The City Council has continued to engage in on-going, constructive collaboration with neighbouring authorities and other statutory bodies as required under the Duty to Cooperate. This includes engagement in relation to the new Oxford Local Plan 2036 and active involvement in a number of on-going joint-working and partnership relationships. The Growth Board is </w:t>
      </w:r>
      <w:r>
        <w:lastRenderedPageBreak/>
        <w:t xml:space="preserve">working to address Oxford’s unmet housing (and affordable housing) need. A ‘working assumption’ of 15,000 unmet </w:t>
      </w:r>
      <w:proofErr w:type="gramStart"/>
      <w:r>
        <w:t>need</w:t>
      </w:r>
      <w:proofErr w:type="gramEnd"/>
      <w:r>
        <w:t xml:space="preserve"> for Oxford has been agreed, as has an apportionment of how this should be divided between the Oxfordshire districts by 2031. </w:t>
      </w:r>
    </w:p>
    <w:p w:rsidR="00E84820" w:rsidRDefault="00E84820" w:rsidP="00E84820">
      <w:pPr>
        <w:pStyle w:val="ListParagraph"/>
        <w:spacing w:after="200" w:line="276" w:lineRule="auto"/>
        <w:ind w:left="360"/>
        <w:jc w:val="both"/>
      </w:pPr>
    </w:p>
    <w:p w:rsidR="00E84820" w:rsidRDefault="00E84820" w:rsidP="00E84820">
      <w:pPr>
        <w:pStyle w:val="ListParagraph"/>
        <w:numPr>
          <w:ilvl w:val="1"/>
          <w:numId w:val="1"/>
        </w:numPr>
        <w:spacing w:after="200" w:line="276" w:lineRule="auto"/>
        <w:jc w:val="both"/>
      </w:pPr>
      <w:r>
        <w:t xml:space="preserve">CIL receipts for the 2017/18 monitoring year totalled £4,995,586, whilst expenditure of CIL receipts totalled £1,115,761. </w:t>
      </w:r>
    </w:p>
    <w:p w:rsidR="00E84820" w:rsidRDefault="00E84820" w:rsidP="00E84820">
      <w:pPr>
        <w:pStyle w:val="ListParagraph"/>
        <w:spacing w:after="200" w:line="276" w:lineRule="auto"/>
        <w:ind w:left="360"/>
        <w:jc w:val="both"/>
      </w:pPr>
    </w:p>
    <w:p w:rsidR="00E84820" w:rsidRDefault="00E84820" w:rsidP="00E84820">
      <w:pPr>
        <w:pStyle w:val="ListParagraph"/>
        <w:numPr>
          <w:ilvl w:val="1"/>
          <w:numId w:val="1"/>
        </w:numPr>
        <w:spacing w:after="200" w:line="276" w:lineRule="auto"/>
        <w:jc w:val="both"/>
      </w:pPr>
      <w:r>
        <w:t xml:space="preserve">As of 1 April 2018 the City Council held £3,827,314 of developer funding which is due for expenditure (subject to Council approval). </w:t>
      </w:r>
    </w:p>
    <w:p w:rsidR="008A22C6" w:rsidRDefault="008A22C6" w:rsidP="00E84820">
      <w:pPr>
        <w:pStyle w:val="ListParagraph"/>
        <w:spacing w:after="200" w:line="276" w:lineRule="auto"/>
        <w:ind w:left="567"/>
        <w:contextualSpacing w:val="0"/>
        <w:jc w:val="both"/>
      </w:pPr>
    </w:p>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E906EC" w:rsidRDefault="00E906EC" w:rsidP="008A22C6"/>
    <w:p w:rsidR="0071506B" w:rsidRDefault="0071506B" w:rsidP="008A22C6"/>
    <w:p w:rsidR="0071506B" w:rsidRDefault="0071506B" w:rsidP="008A22C6"/>
    <w:p w:rsidR="0071506B" w:rsidRDefault="0071506B" w:rsidP="008A22C6"/>
    <w:p w:rsidR="0071506B" w:rsidRDefault="0071506B" w:rsidP="008A22C6"/>
    <w:p w:rsidR="0071506B" w:rsidRDefault="0071506B" w:rsidP="008A22C6"/>
    <w:p w:rsidR="0071506B" w:rsidRDefault="0071506B" w:rsidP="008A22C6"/>
    <w:p w:rsidR="0071506B" w:rsidRDefault="0071506B" w:rsidP="008A22C6"/>
    <w:p w:rsidR="00E906EC" w:rsidRDefault="00E906EC" w:rsidP="008A22C6"/>
    <w:p w:rsidR="00126779" w:rsidRPr="00A648D5" w:rsidRDefault="00126779" w:rsidP="00126779">
      <w:pPr>
        <w:keepNext/>
        <w:keepLines/>
        <w:outlineLvl w:val="0"/>
        <w:rPr>
          <w:rFonts w:asciiTheme="minorHAnsi" w:eastAsia="Calibri" w:hAnsiTheme="minorHAnsi" w:cstheme="majorBidi"/>
          <w:b/>
          <w:bCs/>
          <w:sz w:val="32"/>
          <w:szCs w:val="28"/>
        </w:rPr>
      </w:pPr>
      <w:bookmarkStart w:id="5" w:name="_Toc529178335"/>
      <w:r w:rsidRPr="00A648D5">
        <w:rPr>
          <w:rFonts w:asciiTheme="minorHAnsi" w:eastAsia="Calibri" w:hAnsiTheme="minorHAnsi" w:cstheme="majorBidi"/>
          <w:b/>
          <w:bCs/>
          <w:sz w:val="32"/>
          <w:szCs w:val="28"/>
        </w:rPr>
        <w:t>A Vibrant and Sustainable Economy</w:t>
      </w:r>
      <w:bookmarkEnd w:id="5"/>
    </w:p>
    <w:tbl>
      <w:tblPr>
        <w:tblStyle w:val="TableGrid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376"/>
        <w:gridCol w:w="6866"/>
      </w:tblGrid>
      <w:tr w:rsidR="00126779" w:rsidRPr="007D16FE" w:rsidTr="00126779">
        <w:tc>
          <w:tcPr>
            <w:tcW w:w="9242" w:type="dxa"/>
            <w:gridSpan w:val="2"/>
            <w:tcBorders>
              <w:top w:val="nil"/>
              <w:bottom w:val="single" w:sz="12" w:space="0" w:color="D9D9D9" w:themeColor="background1" w:themeShade="D9"/>
            </w:tcBorders>
            <w:shd w:val="clear" w:color="auto" w:fill="244061" w:themeFill="accent1" w:themeFillShade="80"/>
          </w:tcPr>
          <w:p w:rsidR="00126779" w:rsidRPr="007D16FE" w:rsidRDefault="00126779" w:rsidP="00126779">
            <w:pPr>
              <w:autoSpaceDE w:val="0"/>
              <w:autoSpaceDN w:val="0"/>
              <w:adjustRightInd w:val="0"/>
              <w:spacing w:before="120" w:line="276" w:lineRule="auto"/>
              <w:ind w:left="993" w:hanging="993"/>
              <w:rPr>
                <w:rFonts w:asciiTheme="minorHAnsi" w:eastAsia="Calibri" w:hAnsiTheme="minorHAnsi" w:cstheme="minorHAnsi"/>
                <w:b/>
                <w:color w:val="FFFFFF" w:themeColor="background1"/>
                <w:sz w:val="24"/>
                <w:highlight w:val="yellow"/>
              </w:rPr>
            </w:pPr>
            <w:r w:rsidRPr="00BF328F">
              <w:rPr>
                <w:rFonts w:asciiTheme="minorHAnsi" w:eastAsia="Calibri" w:hAnsiTheme="minorHAnsi" w:cstheme="minorHAnsi"/>
                <w:color w:val="FFFFFF" w:themeColor="background1"/>
                <w:sz w:val="24"/>
              </w:rPr>
              <w:t xml:space="preserve">Ambition: </w:t>
            </w:r>
            <w:r w:rsidRPr="00BF328F">
              <w:rPr>
                <w:rFonts w:asciiTheme="minorHAnsi" w:eastAsia="Calibri" w:hAnsiTheme="minorHAnsi" w:cstheme="minorHAnsi"/>
                <w:b/>
                <w:color w:val="FFFFFF" w:themeColor="background1"/>
                <w:sz w:val="24"/>
              </w:rPr>
              <w:t xml:space="preserve">A smart and entrepreneurial city with a thriving local economy supported by improved infrastructure, training and skills. </w:t>
            </w:r>
          </w:p>
        </w:tc>
      </w:tr>
      <w:tr w:rsidR="00126779" w:rsidRPr="007D16FE" w:rsidTr="00126779">
        <w:tc>
          <w:tcPr>
            <w:tcW w:w="9242" w:type="dxa"/>
            <w:gridSpan w:val="2"/>
            <w:tcBorders>
              <w:top w:val="single" w:sz="12" w:space="0" w:color="D9D9D9" w:themeColor="background1" w:themeShade="D9"/>
              <w:bottom w:val="single" w:sz="4" w:space="0" w:color="D9D9D9" w:themeColor="background1" w:themeShade="D9"/>
            </w:tcBorders>
            <w:shd w:val="clear" w:color="auto" w:fill="95B3D7" w:themeFill="accent1" w:themeFillTint="99"/>
          </w:tcPr>
          <w:p w:rsidR="00126779" w:rsidRPr="00EF6AA9" w:rsidRDefault="00126779" w:rsidP="00126779">
            <w:pPr>
              <w:spacing w:before="40" w:after="40"/>
              <w:rPr>
                <w:rFonts w:asciiTheme="minorHAnsi" w:eastAsia="Calibri" w:hAnsiTheme="minorHAnsi" w:cstheme="minorHAnsi"/>
                <w:b/>
                <w:noProof/>
                <w:color w:val="000000"/>
                <w:szCs w:val="22"/>
                <w:lang w:eastAsia="en-GB"/>
              </w:rPr>
            </w:pPr>
            <w:r w:rsidRPr="00EF6AA9">
              <w:rPr>
                <w:rFonts w:asciiTheme="minorHAnsi" w:eastAsia="Calibri" w:hAnsiTheme="minorHAnsi" w:cstheme="minorHAnsi"/>
                <w:b/>
                <w:noProof/>
                <w:color w:val="0F243E" w:themeColor="text2" w:themeShade="80"/>
                <w:szCs w:val="22"/>
                <w:lang w:eastAsia="en-GB"/>
              </w:rPr>
              <w:t>Snapshot of Oxford’s Economy</w:t>
            </w:r>
          </w:p>
        </w:tc>
      </w:tr>
      <w:tr w:rsidR="00126779" w:rsidRPr="007D16FE" w:rsidTr="00126779">
        <w:tc>
          <w:tcPr>
            <w:tcW w:w="2376" w:type="dxa"/>
            <w:tcBorders>
              <w:top w:val="nil"/>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 xml:space="preserve">Number of businesses: </w:t>
            </w:r>
          </w:p>
        </w:tc>
        <w:tc>
          <w:tcPr>
            <w:tcW w:w="6866" w:type="dxa"/>
            <w:tcBorders>
              <w:top w:val="nil"/>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rPr>
                <w:rFonts w:asciiTheme="minorHAnsi" w:eastAsia="Calibri" w:hAnsiTheme="minorHAnsi" w:cstheme="minorHAnsi"/>
                <w:noProof/>
                <w:color w:val="000000"/>
                <w:sz w:val="20"/>
                <w:szCs w:val="22"/>
                <w:lang w:eastAsia="en-GB"/>
              </w:rPr>
            </w:pPr>
            <w:r w:rsidRPr="00EF6AA9">
              <w:rPr>
                <w:rFonts w:asciiTheme="minorHAnsi" w:hAnsiTheme="minorHAnsi"/>
                <w:sz w:val="20"/>
              </w:rPr>
              <w:t>4,865 businesses were based in Oxford in 2017(+2.4% on 2016).</w:t>
            </w:r>
            <w:r w:rsidRPr="00EF6AA9">
              <w:rPr>
                <w:rStyle w:val="FootnoteReference"/>
                <w:rFonts w:asciiTheme="minorHAnsi" w:hAnsiTheme="minorHAnsi"/>
                <w:sz w:val="20"/>
              </w:rPr>
              <w:footnoteReference w:id="1"/>
            </w:r>
            <w:r w:rsidRPr="00EF6AA9">
              <w:rPr>
                <w:rFonts w:asciiTheme="minorHAnsi" w:hAnsiTheme="minorHAnsi"/>
                <w:sz w:val="20"/>
              </w:rPr>
              <w:t xml:space="preserve"> </w:t>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Total number of jobs: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rPr>
                <w:rFonts w:asciiTheme="minorHAnsi" w:eastAsia="Calibri" w:hAnsiTheme="minorHAnsi" w:cstheme="minorHAnsi"/>
                <w:noProof/>
                <w:color w:val="000000"/>
                <w:sz w:val="20"/>
                <w:szCs w:val="22"/>
                <w:lang w:eastAsia="en-GB"/>
              </w:rPr>
            </w:pPr>
            <w:r w:rsidRPr="00EF6AA9">
              <w:rPr>
                <w:rFonts w:asciiTheme="minorHAnsi" w:hAnsiTheme="minorHAnsi"/>
                <w:sz w:val="20"/>
              </w:rPr>
              <w:t>135,000 jobs located in Oxford in 2016.</w:t>
            </w:r>
            <w:r w:rsidRPr="00EF6AA9">
              <w:rPr>
                <w:rStyle w:val="FootnoteReference"/>
                <w:rFonts w:asciiTheme="minorHAnsi" w:hAnsiTheme="minorHAnsi"/>
                <w:sz w:val="20"/>
              </w:rPr>
              <w:footnoteReference w:id="2"/>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lastRenderedPageBreak/>
              <w:t xml:space="preserve">People travelling into Oxford for work: </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rPr>
                <w:rFonts w:asciiTheme="minorHAnsi" w:eastAsia="Calibri" w:hAnsiTheme="minorHAnsi" w:cstheme="minorHAnsi"/>
                <w:noProof/>
                <w:color w:val="000000"/>
                <w:sz w:val="20"/>
                <w:szCs w:val="22"/>
                <w:lang w:eastAsia="en-GB"/>
              </w:rPr>
            </w:pPr>
            <w:r w:rsidRPr="00EF6AA9">
              <w:rPr>
                <w:rFonts w:asciiTheme="minorHAnsi" w:hAnsiTheme="minorHAnsi"/>
                <w:sz w:val="20"/>
              </w:rPr>
              <w:t>46,000 people commute into Oxford for work.</w:t>
            </w:r>
            <w:r w:rsidRPr="00EF6AA9">
              <w:rPr>
                <w:rStyle w:val="FootnoteReference"/>
                <w:rFonts w:asciiTheme="minorHAnsi" w:hAnsiTheme="minorHAnsi"/>
                <w:sz w:val="20"/>
              </w:rPr>
              <w:footnoteReference w:id="3"/>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Education and skills: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rPr>
                <w:rFonts w:asciiTheme="minorHAnsi" w:hAnsiTheme="minorHAnsi"/>
                <w:sz w:val="20"/>
              </w:rPr>
            </w:pPr>
            <w:r w:rsidRPr="00EF6AA9">
              <w:rPr>
                <w:rFonts w:asciiTheme="minorHAnsi" w:hAnsiTheme="minorHAnsi"/>
                <w:sz w:val="20"/>
              </w:rPr>
              <w:t>In 2017, 63% of Oxford’s residents between the ages of 16-64 had degree level qualifications or above, whilst 14.4% had low or no qualifications.</w:t>
            </w:r>
            <w:r w:rsidRPr="00EF6AA9">
              <w:rPr>
                <w:rStyle w:val="FootnoteReference"/>
                <w:rFonts w:asciiTheme="minorHAnsi" w:hAnsiTheme="minorHAnsi"/>
                <w:sz w:val="20"/>
              </w:rPr>
              <w:footnoteReference w:id="4"/>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Unemployment: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rPr>
                <w:rFonts w:asciiTheme="minorHAnsi" w:hAnsiTheme="minorHAnsi"/>
                <w:sz w:val="20"/>
              </w:rPr>
            </w:pPr>
            <w:r w:rsidRPr="00EF6AA9">
              <w:rPr>
                <w:rFonts w:asciiTheme="minorHAnsi" w:hAnsiTheme="minorHAnsi"/>
                <w:sz w:val="20"/>
              </w:rPr>
              <w:t>2,800 people in Oxford were considered unemployed in 2017. This represents 2.9% of Oxford’s population.</w:t>
            </w:r>
            <w:r w:rsidRPr="00EF6AA9">
              <w:rPr>
                <w:rStyle w:val="FootnoteReference"/>
                <w:rFonts w:asciiTheme="minorHAnsi" w:hAnsiTheme="minorHAnsi"/>
                <w:sz w:val="20"/>
              </w:rPr>
              <w:footnoteReference w:id="5"/>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Contribution to the National Economy:</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pStyle w:val="Default"/>
              <w:rPr>
                <w:rFonts w:asciiTheme="minorHAnsi" w:hAnsiTheme="minorHAnsi" w:cs="Arial"/>
                <w:sz w:val="20"/>
              </w:rPr>
            </w:pPr>
            <w:r w:rsidRPr="00EF6AA9">
              <w:rPr>
                <w:rFonts w:asciiTheme="minorHAnsi" w:hAnsiTheme="minorHAnsi" w:cs="Arial"/>
                <w:sz w:val="20"/>
              </w:rPr>
              <w:t>Oxford is ranked 7</w:t>
            </w:r>
            <w:r w:rsidRPr="00EF6AA9">
              <w:rPr>
                <w:rFonts w:asciiTheme="minorHAnsi" w:hAnsiTheme="minorHAnsi" w:cs="Arial"/>
                <w:sz w:val="20"/>
                <w:vertAlign w:val="superscript"/>
              </w:rPr>
              <w:t>th</w:t>
            </w:r>
            <w:r w:rsidRPr="00EF6AA9">
              <w:rPr>
                <w:rFonts w:asciiTheme="minorHAnsi" w:hAnsiTheme="minorHAnsi" w:cs="Arial"/>
                <w:sz w:val="20"/>
              </w:rPr>
              <w:t xml:space="preserve"> out of 55 English cities for its contribution to the national economy (£58,150 GVA per worker).</w:t>
            </w:r>
            <w:r w:rsidRPr="00EF6AA9">
              <w:rPr>
                <w:rStyle w:val="FootnoteReference"/>
                <w:rFonts w:asciiTheme="minorHAnsi" w:hAnsiTheme="minorHAnsi" w:cs="Arial"/>
                <w:sz w:val="20"/>
              </w:rPr>
              <w:footnoteReference w:id="6"/>
            </w:r>
            <w:r w:rsidRPr="00EF6AA9">
              <w:rPr>
                <w:rFonts w:asciiTheme="minorHAnsi" w:hAnsiTheme="minorHAnsi" w:cs="Arial"/>
                <w:sz w:val="20"/>
              </w:rPr>
              <w:t xml:space="preserve"> Oxfordshire has also been named the most innovative business location in the UK by the Enterprise Research Centre.</w:t>
            </w:r>
            <w:r w:rsidRPr="00EF6AA9">
              <w:rPr>
                <w:rStyle w:val="FootnoteReference"/>
                <w:rFonts w:asciiTheme="minorHAnsi" w:hAnsiTheme="minorHAnsi" w:cs="Arial"/>
                <w:sz w:val="20"/>
              </w:rPr>
              <w:footnoteReference w:id="7"/>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Economic contribution of the universities: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pStyle w:val="Default"/>
              <w:rPr>
                <w:rFonts w:asciiTheme="minorHAnsi" w:hAnsiTheme="minorHAnsi" w:cs="Arial"/>
                <w:sz w:val="20"/>
              </w:rPr>
            </w:pPr>
            <w:r w:rsidRPr="00EF6AA9">
              <w:rPr>
                <w:rFonts w:asciiTheme="minorHAnsi" w:hAnsiTheme="minorHAnsi" w:cs="Arial"/>
                <w:sz w:val="20"/>
              </w:rPr>
              <w:t>The University of Oxford contributions £2 billion GVA to the economy. Oxford Brookes University generated an income of £192.6 million in 2015/16.</w:t>
            </w:r>
            <w:r w:rsidRPr="00EF6AA9">
              <w:rPr>
                <w:rStyle w:val="FootnoteReference"/>
                <w:rFonts w:asciiTheme="minorHAnsi" w:hAnsiTheme="minorHAnsi" w:cs="Arial"/>
                <w:sz w:val="20"/>
              </w:rPr>
              <w:footnoteReference w:id="8"/>
            </w:r>
          </w:p>
        </w:tc>
      </w:tr>
      <w:tr w:rsidR="00126779" w:rsidRPr="007D16FE"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Annual number of visitors: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pStyle w:val="Default"/>
              <w:rPr>
                <w:rFonts w:asciiTheme="minorHAnsi" w:hAnsiTheme="minorHAnsi" w:cs="Arial"/>
                <w:sz w:val="20"/>
              </w:rPr>
            </w:pPr>
            <w:r w:rsidRPr="00EF6AA9">
              <w:rPr>
                <w:rFonts w:asciiTheme="minorHAnsi" w:hAnsiTheme="minorHAnsi" w:cs="Arial"/>
                <w:sz w:val="20"/>
              </w:rPr>
              <w:t>Oxford attracts approximately 7 million visitors per year, generating £780 million of income for local businesses. Oxford is the seventh most visited city in the UK by international visitors.</w:t>
            </w:r>
            <w:r w:rsidRPr="00EF6AA9">
              <w:rPr>
                <w:rStyle w:val="FootnoteReference"/>
                <w:rFonts w:asciiTheme="minorHAnsi" w:hAnsiTheme="minorHAnsi" w:cs="Arial"/>
                <w:sz w:val="20"/>
              </w:rPr>
              <w:footnoteReference w:id="9"/>
            </w:r>
          </w:p>
        </w:tc>
      </w:tr>
      <w:tr w:rsidR="00126779" w:rsidRPr="00EF6AA9" w:rsidTr="00126779">
        <w:tc>
          <w:tcPr>
            <w:tcW w:w="9242" w:type="dxa"/>
            <w:gridSpan w:val="2"/>
            <w:tcBorders>
              <w:top w:val="single" w:sz="12" w:space="0" w:color="D9D9D9" w:themeColor="background1" w:themeShade="D9"/>
              <w:bottom w:val="single" w:sz="12" w:space="0" w:color="D9D9D9" w:themeColor="background1" w:themeShade="D9"/>
            </w:tcBorders>
            <w:shd w:val="clear" w:color="auto" w:fill="95B3D7" w:themeFill="accent1" w:themeFillTint="99"/>
          </w:tcPr>
          <w:p w:rsidR="00126779" w:rsidRPr="00EF6AA9" w:rsidRDefault="00126779" w:rsidP="00126779">
            <w:pPr>
              <w:spacing w:before="40" w:after="40"/>
              <w:rPr>
                <w:rFonts w:asciiTheme="minorHAnsi" w:eastAsia="Calibri" w:hAnsiTheme="minorHAnsi" w:cstheme="minorHAnsi"/>
                <w:noProof/>
                <w:color w:val="000000"/>
                <w:sz w:val="24"/>
                <w:szCs w:val="22"/>
                <w:lang w:eastAsia="en-GB"/>
              </w:rPr>
            </w:pPr>
            <w:r w:rsidRPr="00EF6AA9">
              <w:rPr>
                <w:rFonts w:asciiTheme="minorHAnsi" w:eastAsia="Calibri" w:hAnsiTheme="minorHAnsi" w:cstheme="minorHAnsi"/>
                <w:b/>
                <w:noProof/>
                <w:color w:val="0F243E" w:themeColor="text2" w:themeShade="80"/>
                <w:szCs w:val="22"/>
                <w:lang w:eastAsia="en-GB"/>
              </w:rPr>
              <w:t>Spatial distribution of jobs in Oxford:</w:t>
            </w:r>
          </w:p>
        </w:tc>
      </w:tr>
      <w:tr w:rsidR="00126779" w:rsidRPr="00EF6AA9" w:rsidTr="00126779">
        <w:tc>
          <w:tcPr>
            <w:tcW w:w="9242" w:type="dxa"/>
            <w:gridSpan w:val="2"/>
            <w:tcBorders>
              <w:top w:val="single" w:sz="12" w:space="0" w:color="D9D9D9" w:themeColor="background1" w:themeShade="D9"/>
              <w:bottom w:val="single" w:sz="4" w:space="0" w:color="D9D9D9" w:themeColor="background1" w:themeShade="D9"/>
            </w:tcBorders>
            <w:shd w:val="clear" w:color="auto" w:fill="DBE5F1" w:themeFill="accent1" w:themeFillTint="33"/>
          </w:tcPr>
          <w:p w:rsidR="00126779" w:rsidRPr="00EF6AA9" w:rsidRDefault="00126779" w:rsidP="00126779">
            <w:pPr>
              <w:rPr>
                <w:rFonts w:asciiTheme="minorHAnsi" w:eastAsia="Calibri" w:hAnsiTheme="minorHAnsi" w:cstheme="minorHAnsi"/>
                <w:noProof/>
                <w:color w:val="000000"/>
                <w:sz w:val="4"/>
                <w:szCs w:val="4"/>
                <w:lang w:eastAsia="en-GB"/>
              </w:rPr>
            </w:pPr>
          </w:p>
          <w:p w:rsidR="00126779" w:rsidRPr="00EF6AA9" w:rsidRDefault="00126779" w:rsidP="00126779">
            <w:pPr>
              <w:jc w:val="center"/>
              <w:rPr>
                <w:rFonts w:asciiTheme="minorHAnsi" w:eastAsia="Calibri" w:hAnsiTheme="minorHAnsi" w:cstheme="minorHAnsi"/>
                <w:noProof/>
                <w:color w:val="000000"/>
                <w:sz w:val="24"/>
                <w:szCs w:val="22"/>
                <w:lang w:eastAsia="en-GB"/>
              </w:rPr>
            </w:pPr>
            <w:r w:rsidRPr="00EF6AA9">
              <w:rPr>
                <w:rFonts w:asciiTheme="minorHAnsi" w:eastAsia="Calibri" w:hAnsiTheme="minorHAnsi" w:cstheme="minorHAnsi"/>
                <w:noProof/>
                <w:color w:val="000000"/>
                <w:sz w:val="24"/>
                <w:szCs w:val="22"/>
                <w:lang w:eastAsia="en-GB"/>
              </w:rPr>
              <w:drawing>
                <wp:inline distT="0" distB="0" distL="0" distR="0" wp14:anchorId="60D28900" wp14:editId="07DEB399">
                  <wp:extent cx="4584365" cy="343852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reas V1.jp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4365" cy="3438525"/>
                          </a:xfrm>
                          <a:prstGeom prst="rect">
                            <a:avLst/>
                          </a:prstGeom>
                        </pic:spPr>
                      </pic:pic>
                    </a:graphicData>
                  </a:graphic>
                </wp:inline>
              </w:drawing>
            </w:r>
          </w:p>
        </w:tc>
      </w:tr>
    </w:tbl>
    <w:bookmarkStart w:id="6" w:name="_Toc529178336"/>
    <w:p w:rsidR="00126779" w:rsidRPr="007E2BF2" w:rsidRDefault="00126779" w:rsidP="00126779">
      <w:pPr>
        <w:outlineLvl w:val="1"/>
        <w:rPr>
          <w:rFonts w:asciiTheme="minorHAnsi" w:hAnsiTheme="minorHAnsi"/>
          <w:b/>
          <w:sz w:val="8"/>
          <w:szCs w:val="22"/>
          <w:lang w:eastAsia="en-GB"/>
        </w:rPr>
      </w:pPr>
      <w:r w:rsidRPr="007E2BF2">
        <w:rPr>
          <w:rFonts w:asciiTheme="minorHAnsi" w:hAnsiTheme="minorHAnsi"/>
          <w:b/>
          <w:noProof/>
          <w:sz w:val="8"/>
          <w:szCs w:val="22"/>
          <w:lang w:eastAsia="en-GB"/>
        </w:rPr>
        <mc:AlternateContent>
          <mc:Choice Requires="wps">
            <w:drawing>
              <wp:anchor distT="0" distB="0" distL="114300" distR="114300" simplePos="0" relativeHeight="251659264" behindDoc="1" locked="0" layoutInCell="1" allowOverlap="1" wp14:anchorId="059CABF5" wp14:editId="667D9265">
                <wp:simplePos x="0" y="0"/>
                <wp:positionH relativeFrom="column">
                  <wp:posOffset>-66675</wp:posOffset>
                </wp:positionH>
                <wp:positionV relativeFrom="paragraph">
                  <wp:posOffset>-19050</wp:posOffset>
                </wp:positionV>
                <wp:extent cx="5857875" cy="1476375"/>
                <wp:effectExtent l="0" t="0" r="9525" b="9525"/>
                <wp:wrapNone/>
                <wp:docPr id="128" name="Rectangle 128"/>
                <wp:cNvGraphicFramePr/>
                <a:graphic xmlns:a="http://schemas.openxmlformats.org/drawingml/2006/main">
                  <a:graphicData uri="http://schemas.microsoft.com/office/word/2010/wordprocessingShape">
                    <wps:wsp>
                      <wps:cNvSpPr/>
                      <wps:spPr>
                        <a:xfrm>
                          <a:off x="0" y="0"/>
                          <a:ext cx="5857875"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520700" id="Rectangle 128" o:spid="_x0000_s1026" style="position:absolute;margin-left:-5.25pt;margin-top:-1.5pt;width:461.25pt;height:11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" fillcolor="#dbeef4" stroked="f" strokeweight="2pt"/>
            </w:pict>
          </mc:Fallback>
        </mc:AlternateContent>
      </w:r>
      <w:r w:rsidRPr="007E2BF2">
        <w:rPr>
          <w:rFonts w:asciiTheme="minorHAnsi" w:hAnsiTheme="minorHAnsi"/>
          <w:b/>
          <w:sz w:val="24"/>
          <w:lang w:eastAsia="en-GB"/>
        </w:rPr>
        <w:t>Indicator 1: EMPLOYMENT LAND SUPPLY</w:t>
      </w:r>
      <w:bookmarkEnd w:id="6"/>
    </w:p>
    <w:p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rsidR="00126779" w:rsidRPr="007E2BF2" w:rsidRDefault="00126779" w:rsidP="00126779">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p>
    <w:p w:rsidR="00126779" w:rsidRPr="007E2BF2" w:rsidRDefault="00126779" w:rsidP="00126779">
      <w:pPr>
        <w:autoSpaceDE w:val="0"/>
        <w:autoSpaceDN w:val="0"/>
        <w:adjustRightInd w:val="0"/>
        <w:ind w:firstLine="720"/>
        <w:jc w:val="both"/>
        <w:rPr>
          <w:rFonts w:eastAsia="Calibri" w:cs="Calibri"/>
          <w:color w:val="244061" w:themeColor="accent1" w:themeShade="80"/>
          <w:szCs w:val="22"/>
        </w:rPr>
      </w:pPr>
      <w:r w:rsidRPr="007E2BF2">
        <w:rPr>
          <w:rFonts w:eastAsia="Calibri" w:cs="Calibri"/>
          <w:color w:val="244061" w:themeColor="accent1" w:themeShade="80"/>
          <w:sz w:val="20"/>
          <w:szCs w:val="22"/>
        </w:rPr>
        <w:t>(Oxford Core Strategy Policy CS27)</w:t>
      </w:r>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rsidTr="00126779">
        <w:trPr>
          <w:trHeight w:val="218"/>
        </w:trPr>
        <w:tc>
          <w:tcPr>
            <w:tcW w:w="5420" w:type="dxa"/>
          </w:tcPr>
          <w:p w:rsidR="00126779" w:rsidRPr="007E2BF2" w:rsidRDefault="00126779" w:rsidP="00126779">
            <w:pPr>
              <w:autoSpaceDE w:val="0"/>
              <w:autoSpaceDN w:val="0"/>
              <w:adjustRightInd w:val="0"/>
              <w:ind w:left="-108"/>
              <w:rPr>
                <w:rFonts w:ascii="Arial" w:hAnsi="Arial"/>
                <w:b/>
                <w:noProof/>
                <w:sz w:val="20"/>
                <w:szCs w:val="16"/>
                <w:lang w:eastAsia="en-GB"/>
              </w:rPr>
            </w:pPr>
            <w:r>
              <w:rPr>
                <w:rFonts w:ascii="Arial" w:eastAsia="Calibri" w:hAnsi="Arial" w:cs="Calibri"/>
                <w:b/>
                <w:color w:val="244061" w:themeColor="accent1" w:themeShade="80"/>
                <w:sz w:val="20"/>
                <w:szCs w:val="22"/>
              </w:rPr>
              <w:t>Performance against target 2017/18</w:t>
            </w:r>
            <w:r w:rsidRPr="007E2BF2">
              <w:rPr>
                <w:rFonts w:ascii="Arial" w:eastAsia="Calibri" w:hAnsi="Arial" w:cs="Calibri"/>
                <w:b/>
                <w:color w:val="244061" w:themeColor="accent1" w:themeShade="80"/>
                <w:sz w:val="20"/>
                <w:szCs w:val="22"/>
              </w:rPr>
              <w:t>:</w:t>
            </w:r>
          </w:p>
        </w:tc>
        <w:tc>
          <w:tcPr>
            <w:tcW w:w="3714" w:type="dxa"/>
            <w:gridSpan w:val="2"/>
          </w:tcPr>
          <w:p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26779" w:rsidRPr="001D0920" w:rsidRDefault="00126779" w:rsidP="00126779">
            <w:pPr>
              <w:autoSpaceDE w:val="0"/>
              <w:autoSpaceDN w:val="0"/>
              <w:adjustRightInd w:val="0"/>
              <w:rPr>
                <w:rFonts w:ascii="Arial" w:eastAsia="Calibri" w:hAnsi="Arial" w:cs="Calibri"/>
                <w:b/>
                <w:color w:val="244061" w:themeColor="accent1" w:themeShade="80"/>
                <w:sz w:val="4"/>
                <w:szCs w:val="4"/>
              </w:rPr>
            </w:pPr>
          </w:p>
        </w:tc>
      </w:tr>
      <w:tr w:rsidR="00126779" w:rsidRPr="007E2BF2" w:rsidTr="00126779">
        <w:tc>
          <w:tcPr>
            <w:tcW w:w="5420" w:type="dxa"/>
            <w:vMerge w:val="restart"/>
          </w:tcPr>
          <w:p w:rsidR="00126779" w:rsidRPr="001D0920" w:rsidRDefault="00126779" w:rsidP="00126779">
            <w:pPr>
              <w:autoSpaceDE w:val="0"/>
              <w:autoSpaceDN w:val="0"/>
              <w:adjustRightInd w:val="0"/>
              <w:rPr>
                <w:rFonts w:ascii="Arial" w:eastAsia="Calibri" w:hAnsi="Arial" w:cs="Calibri"/>
                <w:b/>
                <w:color w:val="244061" w:themeColor="accent1" w:themeShade="80"/>
                <w:sz w:val="10"/>
                <w:szCs w:val="10"/>
              </w:rPr>
            </w:pP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r w:rsidRPr="007E2BF2">
              <w:rPr>
                <w:rFonts w:ascii="Arial" w:hAnsi="Arial"/>
                <w:b/>
                <w:noProof/>
                <w:color w:val="3F4F21"/>
                <w:sz w:val="20"/>
                <w:szCs w:val="32"/>
                <w:lang w:eastAsia="en-GB"/>
              </w:rPr>
              <w:drawing>
                <wp:inline distT="0" distB="0" distL="0" distR="0" wp14:anchorId="7A6615F6" wp14:editId="39658670">
                  <wp:extent cx="1388853" cy="418201"/>
                  <wp:effectExtent l="0" t="0" r="1905" b="1270"/>
                  <wp:docPr id="136" name="Picture 13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w:t>
            </w:r>
            <w:r>
              <w:rPr>
                <w:rFonts w:ascii="Arial" w:eastAsia="Calibri" w:hAnsi="Arial" w:cs="Calibri"/>
                <w:b/>
                <w:color w:val="244061" w:themeColor="accent1" w:themeShade="80"/>
                <w:sz w:val="20"/>
                <w:szCs w:val="22"/>
              </w:rPr>
              <w:t>6/17</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06E34B23" wp14:editId="58C62606">
                  <wp:extent cx="819150" cy="256182"/>
                  <wp:effectExtent l="0" t="0" r="0" b="0"/>
                  <wp:docPr id="139" name="Picture 13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1D0920" w:rsidRDefault="00126779" w:rsidP="00126779">
            <w:pPr>
              <w:autoSpaceDE w:val="0"/>
              <w:autoSpaceDN w:val="0"/>
              <w:adjustRightInd w:val="0"/>
              <w:jc w:val="center"/>
              <w:rPr>
                <w:rFonts w:ascii="Arial" w:eastAsia="Calibri" w:hAnsi="Arial" w:cs="Calibri"/>
                <w:b/>
                <w:color w:val="244061" w:themeColor="accent1" w:themeShade="80"/>
                <w:sz w:val="10"/>
                <w:szCs w:val="10"/>
              </w:rPr>
            </w:pPr>
          </w:p>
        </w:tc>
      </w:tr>
      <w:tr w:rsidR="00126779" w:rsidRPr="007E2BF2" w:rsidTr="00126779">
        <w:tc>
          <w:tcPr>
            <w:tcW w:w="5420" w:type="dxa"/>
            <w:vMerge/>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2015/16</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44ADA9BE" wp14:editId="5555B7A3">
                  <wp:extent cx="819150" cy="246657"/>
                  <wp:effectExtent l="0" t="0" r="0" b="1270"/>
                  <wp:docPr id="142" name="Picture 1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rsidR="00126779" w:rsidRPr="007E2BF2" w:rsidRDefault="00126779" w:rsidP="00126779">
      <w:pPr>
        <w:autoSpaceDE w:val="0"/>
        <w:autoSpaceDN w:val="0"/>
        <w:adjustRightInd w:val="0"/>
        <w:jc w:val="both"/>
        <w:rPr>
          <w:rFonts w:eastAsia="Calibri" w:cs="Calibri"/>
          <w:b/>
          <w:color w:val="244061" w:themeColor="accent1" w:themeShade="80"/>
          <w:szCs w:val="22"/>
        </w:rPr>
      </w:pPr>
    </w:p>
    <w:p w:rsidR="00126779" w:rsidRPr="007E2BF2" w:rsidRDefault="00126779" w:rsidP="00126779">
      <w:pPr>
        <w:numPr>
          <w:ilvl w:val="0"/>
          <w:numId w:val="2"/>
        </w:numPr>
        <w:spacing w:after="200" w:line="276" w:lineRule="auto"/>
        <w:ind w:left="567" w:hanging="567"/>
        <w:jc w:val="both"/>
        <w:rPr>
          <w:rFonts w:eastAsia="Calibri" w:cs="Calibri"/>
          <w:color w:val="000000"/>
          <w:szCs w:val="22"/>
        </w:rPr>
      </w:pPr>
      <w:r w:rsidRPr="007E2BF2">
        <w:rPr>
          <w:rFonts w:eastAsia="Calibri" w:cs="Calibri"/>
          <w:color w:val="000000"/>
          <w:szCs w:val="22"/>
        </w:rPr>
        <w:lastRenderedPageBreak/>
        <w:t>The Core Strategy seeks to support economic growth up to 2026 by allocating land for employment development and by protecting existing key e</w:t>
      </w:r>
      <w:r>
        <w:rPr>
          <w:rFonts w:eastAsia="Calibri" w:cs="Times New Roman"/>
          <w:szCs w:val="22"/>
        </w:rPr>
        <w:t>mployment sites. Table 1</w:t>
      </w:r>
      <w:r w:rsidRPr="007E2BF2">
        <w:rPr>
          <w:rFonts w:eastAsia="Calibri" w:cs="Times New Roman"/>
          <w:szCs w:val="22"/>
        </w:rPr>
        <w:t xml:space="preserve"> shows the amount of land allocated for employment development in Oxford over the whole plan period, as well as total protected key employment sites in the city.</w:t>
      </w:r>
    </w:p>
    <w:tbl>
      <w:tblPr>
        <w:tblStyle w:val="TableGrid18"/>
        <w:tblW w:w="0" w:type="auto"/>
        <w:tblInd w:w="-34"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694"/>
        <w:gridCol w:w="992"/>
        <w:gridCol w:w="709"/>
        <w:gridCol w:w="709"/>
        <w:gridCol w:w="992"/>
        <w:gridCol w:w="992"/>
        <w:gridCol w:w="1276"/>
        <w:gridCol w:w="912"/>
      </w:tblGrid>
      <w:tr w:rsidR="00126779" w:rsidRPr="007E2BF2" w:rsidTr="00126779">
        <w:tc>
          <w:tcPr>
            <w:tcW w:w="2694" w:type="dxa"/>
            <w:shd w:val="clear" w:color="auto" w:fill="DBE5F1" w:themeFill="accent1" w:themeFillTint="33"/>
          </w:tcPr>
          <w:p w:rsidR="00126779" w:rsidRPr="00CD232F" w:rsidRDefault="00126779" w:rsidP="00126779">
            <w:pPr>
              <w:contextualSpacing/>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b/>
                <w:color w:val="262626" w:themeColor="text1" w:themeTint="D9"/>
                <w:sz w:val="20"/>
                <w:szCs w:val="22"/>
              </w:rPr>
              <w:t>Employment Development Sites</w:t>
            </w:r>
          </w:p>
        </w:tc>
        <w:tc>
          <w:tcPr>
            <w:tcW w:w="992" w:type="dxa"/>
            <w:shd w:val="clear" w:color="auto" w:fill="DBE5F1" w:themeFill="accent1" w:themeFillTint="33"/>
          </w:tcPr>
          <w:p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B1a</w:t>
            </w:r>
          </w:p>
          <w:p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Office</w:t>
            </w:r>
          </w:p>
        </w:tc>
        <w:tc>
          <w:tcPr>
            <w:tcW w:w="1418" w:type="dxa"/>
            <w:gridSpan w:val="2"/>
            <w:shd w:val="clear" w:color="auto" w:fill="DBE5F1" w:themeFill="accent1" w:themeFillTint="33"/>
          </w:tcPr>
          <w:p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B1b</w:t>
            </w:r>
          </w:p>
          <w:p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Research + development</w:t>
            </w:r>
          </w:p>
        </w:tc>
        <w:tc>
          <w:tcPr>
            <w:tcW w:w="992" w:type="dxa"/>
            <w:shd w:val="clear" w:color="auto" w:fill="DBE5F1" w:themeFill="accent1" w:themeFillTint="33"/>
          </w:tcPr>
          <w:p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B1c</w:t>
            </w:r>
          </w:p>
          <w:p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Light industry</w:t>
            </w:r>
          </w:p>
        </w:tc>
        <w:tc>
          <w:tcPr>
            <w:tcW w:w="992" w:type="dxa"/>
            <w:shd w:val="clear" w:color="auto" w:fill="DBE5F1" w:themeFill="accent1" w:themeFillTint="33"/>
          </w:tcPr>
          <w:p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B2</w:t>
            </w:r>
          </w:p>
          <w:p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General industry</w:t>
            </w:r>
          </w:p>
        </w:tc>
        <w:tc>
          <w:tcPr>
            <w:tcW w:w="1276" w:type="dxa"/>
            <w:shd w:val="clear" w:color="auto" w:fill="DBE5F1" w:themeFill="accent1" w:themeFillTint="33"/>
          </w:tcPr>
          <w:p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B8</w:t>
            </w:r>
          </w:p>
          <w:p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Storage or distribution</w:t>
            </w:r>
          </w:p>
        </w:tc>
        <w:tc>
          <w:tcPr>
            <w:tcW w:w="912" w:type="dxa"/>
            <w:shd w:val="clear" w:color="auto" w:fill="DBE5F1" w:themeFill="accent1" w:themeFillTint="33"/>
          </w:tcPr>
          <w:p w:rsidR="00126779" w:rsidRPr="00CD232F" w:rsidRDefault="00126779" w:rsidP="00126779">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Total</w:t>
            </w:r>
          </w:p>
        </w:tc>
      </w:tr>
      <w:tr w:rsidR="00126779" w:rsidRPr="007E2BF2" w:rsidTr="00126779">
        <w:tc>
          <w:tcPr>
            <w:tcW w:w="2694" w:type="dxa"/>
            <w:shd w:val="clear" w:color="auto" w:fill="DBE5F1" w:themeFill="accent1" w:themeFillTint="33"/>
          </w:tcPr>
          <w:p w:rsidR="00126779" w:rsidRPr="00CD232F" w:rsidRDefault="00126779" w:rsidP="00126779">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Sites and Housing Plan Allocated Sites </w:t>
            </w:r>
            <w:r w:rsidRPr="00CD232F">
              <w:rPr>
                <w:rFonts w:asciiTheme="minorHAnsi" w:eastAsia="Calibri" w:hAnsiTheme="minorHAnsi" w:cstheme="minorHAnsi"/>
                <w:color w:val="262626" w:themeColor="text1" w:themeTint="D9"/>
                <w:sz w:val="20"/>
                <w:szCs w:val="22"/>
              </w:rPr>
              <w:t>(ha)</w:t>
            </w:r>
          </w:p>
        </w:tc>
        <w:tc>
          <w:tcPr>
            <w:tcW w:w="992"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27.56</w:t>
            </w:r>
          </w:p>
        </w:tc>
        <w:tc>
          <w:tcPr>
            <w:tcW w:w="1418" w:type="dxa"/>
            <w:gridSpan w:val="2"/>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11.53</w:t>
            </w:r>
          </w:p>
        </w:tc>
        <w:tc>
          <w:tcPr>
            <w:tcW w:w="992"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2.16</w:t>
            </w:r>
          </w:p>
        </w:tc>
        <w:tc>
          <w:tcPr>
            <w:tcW w:w="992"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9.92</w:t>
            </w:r>
          </w:p>
        </w:tc>
        <w:tc>
          <w:tcPr>
            <w:tcW w:w="1276"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12" w:type="dxa"/>
          </w:tcPr>
          <w:p w:rsidR="00126779" w:rsidRPr="00CD232F" w:rsidRDefault="00126779" w:rsidP="00126779">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51.17</w:t>
            </w:r>
          </w:p>
        </w:tc>
      </w:tr>
      <w:tr w:rsidR="00126779" w:rsidRPr="007E2BF2" w:rsidTr="00126779">
        <w:tc>
          <w:tcPr>
            <w:tcW w:w="2694" w:type="dxa"/>
            <w:shd w:val="clear" w:color="auto" w:fill="DBE5F1" w:themeFill="accent1" w:themeFillTint="33"/>
          </w:tcPr>
          <w:p w:rsidR="00126779" w:rsidRPr="00CD232F" w:rsidRDefault="00126779" w:rsidP="00126779">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West End and Northern Gateway Allocated Sites </w:t>
            </w:r>
            <w:r w:rsidRPr="00CD232F">
              <w:rPr>
                <w:rFonts w:asciiTheme="minorHAnsi" w:eastAsia="Calibri" w:hAnsiTheme="minorHAnsi" w:cstheme="minorHAnsi"/>
                <w:color w:val="262626" w:themeColor="text1" w:themeTint="D9"/>
                <w:sz w:val="20"/>
                <w:szCs w:val="22"/>
              </w:rPr>
              <w:t>(ha)</w:t>
            </w:r>
          </w:p>
        </w:tc>
        <w:tc>
          <w:tcPr>
            <w:tcW w:w="992" w:type="dxa"/>
          </w:tcPr>
          <w:p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418" w:type="dxa"/>
            <w:gridSpan w:val="2"/>
          </w:tcPr>
          <w:p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276" w:type="dxa"/>
          </w:tcPr>
          <w:p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12" w:type="dxa"/>
          </w:tcPr>
          <w:p w:rsidR="00126779" w:rsidRPr="00CD232F" w:rsidRDefault="00126779" w:rsidP="00126779">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14.90</w:t>
            </w:r>
          </w:p>
        </w:tc>
      </w:tr>
      <w:tr w:rsidR="00126779" w:rsidRPr="007E2BF2" w:rsidTr="00126779">
        <w:tc>
          <w:tcPr>
            <w:tcW w:w="2694" w:type="dxa"/>
            <w:tcBorders>
              <w:bottom w:val="single" w:sz="4" w:space="0" w:color="215868" w:themeColor="accent5" w:themeShade="80"/>
            </w:tcBorders>
            <w:shd w:val="clear" w:color="auto" w:fill="DBE5F1" w:themeFill="accent1" w:themeFillTint="33"/>
          </w:tcPr>
          <w:p w:rsidR="00126779" w:rsidRPr="00CD232F" w:rsidRDefault="00126779" w:rsidP="00126779">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Existing Protected Key Employment Sites </w:t>
            </w:r>
            <w:r w:rsidRPr="00CD232F">
              <w:rPr>
                <w:rFonts w:asciiTheme="minorHAnsi" w:eastAsia="Calibri" w:hAnsiTheme="minorHAnsi" w:cstheme="minorHAnsi"/>
                <w:color w:val="262626" w:themeColor="text1" w:themeTint="D9"/>
                <w:sz w:val="20"/>
                <w:szCs w:val="22"/>
              </w:rPr>
              <w:t>(ha)</w:t>
            </w:r>
          </w:p>
        </w:tc>
        <w:tc>
          <w:tcPr>
            <w:tcW w:w="992" w:type="dxa"/>
            <w:tcBorders>
              <w:bottom w:val="single" w:sz="4" w:space="0" w:color="215868" w:themeColor="accent5" w:themeShade="80"/>
            </w:tcBorders>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27.42</w:t>
            </w:r>
          </w:p>
        </w:tc>
        <w:tc>
          <w:tcPr>
            <w:tcW w:w="1418" w:type="dxa"/>
            <w:gridSpan w:val="2"/>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92"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26.01</w:t>
            </w:r>
          </w:p>
        </w:tc>
        <w:tc>
          <w:tcPr>
            <w:tcW w:w="992"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109.56</w:t>
            </w:r>
          </w:p>
        </w:tc>
        <w:tc>
          <w:tcPr>
            <w:tcW w:w="1276" w:type="dxa"/>
          </w:tcPr>
          <w:p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11.00</w:t>
            </w:r>
          </w:p>
        </w:tc>
        <w:tc>
          <w:tcPr>
            <w:tcW w:w="912" w:type="dxa"/>
          </w:tcPr>
          <w:p w:rsidR="00126779" w:rsidRPr="00CD232F" w:rsidRDefault="00126779" w:rsidP="00126779">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173.99</w:t>
            </w:r>
          </w:p>
        </w:tc>
      </w:tr>
      <w:tr w:rsidR="00126779" w:rsidRPr="007E2BF2" w:rsidTr="00126779">
        <w:tc>
          <w:tcPr>
            <w:tcW w:w="4395" w:type="dxa"/>
            <w:gridSpan w:val="3"/>
            <w:tcBorders>
              <w:left w:val="nil"/>
              <w:bottom w:val="nil"/>
            </w:tcBorders>
          </w:tcPr>
          <w:p w:rsidR="00126779" w:rsidRPr="00CD232F" w:rsidRDefault="00126779" w:rsidP="00126779">
            <w:pPr>
              <w:jc w:val="center"/>
              <w:rPr>
                <w:rFonts w:asciiTheme="minorHAnsi" w:eastAsia="Calibri" w:hAnsiTheme="minorHAnsi" w:cstheme="minorHAnsi"/>
                <w:color w:val="262626" w:themeColor="text1" w:themeTint="D9"/>
                <w:sz w:val="20"/>
                <w:szCs w:val="22"/>
              </w:rPr>
            </w:pPr>
          </w:p>
        </w:tc>
        <w:tc>
          <w:tcPr>
            <w:tcW w:w="3969" w:type="dxa"/>
            <w:gridSpan w:val="4"/>
            <w:shd w:val="clear" w:color="auto" w:fill="DBE5F1" w:themeFill="accent1" w:themeFillTint="33"/>
          </w:tcPr>
          <w:p w:rsidR="00126779" w:rsidRPr="00CD232F" w:rsidRDefault="00126779" w:rsidP="00126779">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Total Gross Employment Land Supply </w:t>
            </w:r>
            <w:r w:rsidRPr="00CD232F">
              <w:rPr>
                <w:rFonts w:asciiTheme="minorHAnsi" w:eastAsia="Calibri" w:hAnsiTheme="minorHAnsi" w:cstheme="minorHAnsi"/>
                <w:color w:val="262626" w:themeColor="text1" w:themeTint="D9"/>
                <w:sz w:val="20"/>
                <w:szCs w:val="22"/>
              </w:rPr>
              <w:t>(ha)</w:t>
            </w:r>
          </w:p>
        </w:tc>
        <w:tc>
          <w:tcPr>
            <w:tcW w:w="912" w:type="dxa"/>
            <w:shd w:val="clear" w:color="auto" w:fill="DBE5F1" w:themeFill="accent1" w:themeFillTint="33"/>
          </w:tcPr>
          <w:p w:rsidR="00126779" w:rsidRPr="00CD232F" w:rsidRDefault="00126779" w:rsidP="00126779">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240.06</w:t>
            </w:r>
          </w:p>
        </w:tc>
      </w:tr>
    </w:tbl>
    <w:p w:rsidR="00126779" w:rsidRPr="007E2BF2" w:rsidRDefault="00126779" w:rsidP="00126779">
      <w:pPr>
        <w:autoSpaceDE w:val="0"/>
        <w:autoSpaceDN w:val="0"/>
        <w:adjustRightInd w:val="0"/>
        <w:jc w:val="center"/>
        <w:rPr>
          <w:rFonts w:eastAsia="Calibri" w:cs="Times New Roman"/>
          <w:color w:val="215868" w:themeColor="accent5" w:themeShade="80"/>
          <w:sz w:val="4"/>
          <w:szCs w:val="4"/>
        </w:rPr>
      </w:pPr>
    </w:p>
    <w:p w:rsidR="00126779" w:rsidRPr="007E2BF2" w:rsidRDefault="00126779" w:rsidP="00126779">
      <w:pPr>
        <w:autoSpaceDE w:val="0"/>
        <w:autoSpaceDN w:val="0"/>
        <w:adjustRightInd w:val="0"/>
        <w:jc w:val="center"/>
        <w:rPr>
          <w:rFonts w:eastAsia="Calibri" w:cs="Calibri"/>
          <w:color w:val="000000"/>
          <w:sz w:val="20"/>
          <w:szCs w:val="22"/>
        </w:rPr>
      </w:pPr>
      <w:r>
        <w:rPr>
          <w:rFonts w:eastAsia="Calibri" w:cs="Calibri"/>
          <w:b/>
          <w:color w:val="000000"/>
          <w:sz w:val="20"/>
          <w:szCs w:val="22"/>
        </w:rPr>
        <w:t>Table 1</w:t>
      </w:r>
      <w:r w:rsidRPr="007E2BF2">
        <w:rPr>
          <w:rFonts w:eastAsia="Calibri" w:cs="Calibri"/>
          <w:b/>
          <w:color w:val="000000"/>
          <w:sz w:val="20"/>
          <w:szCs w:val="22"/>
        </w:rPr>
        <w:t xml:space="preserve">:  </w:t>
      </w:r>
      <w:r w:rsidRPr="007E2BF2">
        <w:rPr>
          <w:rFonts w:eastAsia="Calibri" w:cs="Calibri"/>
          <w:color w:val="000000"/>
          <w:sz w:val="20"/>
          <w:szCs w:val="22"/>
        </w:rPr>
        <w:t>Oxford’s gross employment land supply up to 2026 (allocated sites and those currently in use)</w:t>
      </w:r>
      <w:r w:rsidRPr="007E2BF2">
        <w:rPr>
          <w:rFonts w:eastAsia="Calibri" w:cs="Calibri"/>
          <w:color w:val="000000"/>
          <w:sz w:val="20"/>
          <w:szCs w:val="22"/>
          <w:vertAlign w:val="superscript"/>
        </w:rPr>
        <w:t xml:space="preserve"> </w:t>
      </w:r>
      <w:r w:rsidRPr="007E2BF2">
        <w:rPr>
          <w:rFonts w:eastAsia="Calibri" w:cs="Calibri"/>
          <w:color w:val="000000"/>
          <w:sz w:val="20"/>
          <w:szCs w:val="22"/>
          <w:vertAlign w:val="superscript"/>
        </w:rPr>
        <w:footnoteReference w:id="10"/>
      </w:r>
    </w:p>
    <w:p w:rsidR="00126779" w:rsidRPr="007E2BF2" w:rsidRDefault="00126779" w:rsidP="00126779">
      <w:pPr>
        <w:autoSpaceDE w:val="0"/>
        <w:autoSpaceDN w:val="0"/>
        <w:adjustRightInd w:val="0"/>
        <w:jc w:val="center"/>
        <w:rPr>
          <w:rFonts w:eastAsia="Calibri" w:cs="Calibri"/>
          <w:color w:val="000000"/>
          <w:sz w:val="20"/>
          <w:szCs w:val="22"/>
        </w:rPr>
      </w:pPr>
    </w:p>
    <w:p w:rsidR="00126779" w:rsidRPr="009B5D04" w:rsidRDefault="00126779" w:rsidP="00126779">
      <w:pPr>
        <w:numPr>
          <w:ilvl w:val="0"/>
          <w:numId w:val="2"/>
        </w:numPr>
        <w:spacing w:after="200" w:line="276" w:lineRule="auto"/>
        <w:jc w:val="both"/>
        <w:rPr>
          <w:rFonts w:eastAsia="Calibri" w:cs="Calibri"/>
          <w:color w:val="000000"/>
          <w:szCs w:val="22"/>
        </w:rPr>
      </w:pPr>
      <w:r w:rsidRPr="007E2BF2">
        <w:rPr>
          <w:rFonts w:eastAsia="Calibri" w:cs="Calibri"/>
          <w:color w:val="000000"/>
          <w:szCs w:val="22"/>
        </w:rPr>
        <w:t>There has been no change in the total gross employment land supply in 201</w:t>
      </w:r>
      <w:r>
        <w:rPr>
          <w:rFonts w:eastAsia="Calibri" w:cs="Calibri"/>
          <w:color w:val="000000"/>
          <w:szCs w:val="22"/>
        </w:rPr>
        <w:t>7</w:t>
      </w:r>
      <w:r w:rsidRPr="007E2BF2">
        <w:rPr>
          <w:rFonts w:eastAsia="Calibri" w:cs="Calibri"/>
          <w:color w:val="000000"/>
          <w:szCs w:val="22"/>
        </w:rPr>
        <w:t>/1</w:t>
      </w:r>
      <w:r>
        <w:rPr>
          <w:rFonts w:eastAsia="Calibri" w:cs="Calibri"/>
          <w:color w:val="000000"/>
          <w:szCs w:val="22"/>
        </w:rPr>
        <w:t>8</w:t>
      </w:r>
      <w:r w:rsidRPr="007E2BF2">
        <w:rPr>
          <w:rFonts w:eastAsia="Calibri" w:cs="Calibri"/>
          <w:color w:val="000000"/>
          <w:szCs w:val="22"/>
        </w:rPr>
        <w:t xml:space="preserve"> when compared to the previous monitoring year. </w:t>
      </w:r>
      <w:r w:rsidRPr="009B5D04">
        <w:rPr>
          <w:rFonts w:eastAsia="Calibri" w:cs="Calibri"/>
          <w:color w:val="000000"/>
          <w:szCs w:val="22"/>
        </w:rPr>
        <w:t xml:space="preserve">A thorough review of Oxford’s employment land supply is being undertaken as part of the evidence base for the new Local Plan 2036. </w:t>
      </w:r>
    </w:p>
    <w:p w:rsidR="00126779" w:rsidRPr="007E2BF2" w:rsidRDefault="00126779" w:rsidP="00126779">
      <w:pPr>
        <w:autoSpaceDE w:val="0"/>
        <w:autoSpaceDN w:val="0"/>
        <w:adjustRightInd w:val="0"/>
        <w:jc w:val="both"/>
        <w:rPr>
          <w:rFonts w:eastAsia="Calibri" w:cs="Calibri"/>
          <w:b/>
          <w:color w:val="244061" w:themeColor="accent1" w:themeShade="80"/>
          <w:szCs w:val="22"/>
        </w:rPr>
      </w:pPr>
      <w:r>
        <w:rPr>
          <w:rFonts w:eastAsia="Calibri" w:cs="Calibri"/>
          <w:b/>
          <w:color w:val="244061" w:themeColor="accent1" w:themeShade="80"/>
          <w:szCs w:val="22"/>
        </w:rPr>
        <w:t>P</w:t>
      </w:r>
      <w:r w:rsidRPr="007E2BF2">
        <w:rPr>
          <w:rFonts w:eastAsia="Calibri" w:cs="Calibri"/>
          <w:b/>
          <w:color w:val="244061" w:themeColor="accent1" w:themeShade="80"/>
          <w:szCs w:val="22"/>
        </w:rPr>
        <w:t>rotected</w:t>
      </w:r>
      <w:r>
        <w:rPr>
          <w:rFonts w:eastAsia="Calibri" w:cs="Calibri"/>
          <w:b/>
          <w:color w:val="244061" w:themeColor="accent1" w:themeShade="80"/>
          <w:szCs w:val="22"/>
        </w:rPr>
        <w:t xml:space="preserve"> Key</w:t>
      </w:r>
      <w:r w:rsidRPr="007E2BF2">
        <w:rPr>
          <w:rFonts w:eastAsia="Calibri" w:cs="Calibri"/>
          <w:b/>
          <w:color w:val="244061" w:themeColor="accent1" w:themeShade="80"/>
          <w:szCs w:val="22"/>
        </w:rPr>
        <w:t xml:space="preserve"> Employment Sites</w:t>
      </w:r>
    </w:p>
    <w:p w:rsidR="00126779" w:rsidRDefault="00126779" w:rsidP="00126779">
      <w:pPr>
        <w:numPr>
          <w:ilvl w:val="0"/>
          <w:numId w:val="2"/>
        </w:numPr>
        <w:spacing w:after="200" w:line="276" w:lineRule="auto"/>
        <w:jc w:val="both"/>
        <w:rPr>
          <w:rFonts w:eastAsia="Calibri" w:cs="Calibri"/>
          <w:color w:val="000000"/>
          <w:szCs w:val="22"/>
        </w:rPr>
      </w:pPr>
      <w:r w:rsidRPr="007E2BF2">
        <w:rPr>
          <w:rFonts w:eastAsia="Calibri" w:cs="Calibri"/>
          <w:color w:val="000000"/>
          <w:szCs w:val="22"/>
        </w:rPr>
        <w:t>Policy CS28 of the Core Strategy states that changes of use away from</w:t>
      </w:r>
      <w:r>
        <w:rPr>
          <w:rFonts w:eastAsia="Calibri" w:cs="Calibri"/>
          <w:color w:val="000000"/>
          <w:szCs w:val="22"/>
        </w:rPr>
        <w:t xml:space="preserve"> B1, B2 or B8 business uses within </w:t>
      </w:r>
      <w:r w:rsidRPr="007E2BF2">
        <w:rPr>
          <w:rFonts w:eastAsia="Calibri" w:cs="Calibri"/>
          <w:color w:val="000000"/>
          <w:szCs w:val="22"/>
        </w:rPr>
        <w:t xml:space="preserve">protected </w:t>
      </w:r>
      <w:r>
        <w:rPr>
          <w:rFonts w:eastAsia="Calibri" w:cs="Calibri"/>
          <w:color w:val="000000"/>
          <w:szCs w:val="22"/>
        </w:rPr>
        <w:t xml:space="preserve">key </w:t>
      </w:r>
      <w:r w:rsidRPr="007E2BF2">
        <w:rPr>
          <w:rFonts w:eastAsia="Calibri" w:cs="Calibri"/>
          <w:color w:val="000000"/>
          <w:szCs w:val="22"/>
        </w:rPr>
        <w:t xml:space="preserve">employment sites will not be supported. </w:t>
      </w:r>
    </w:p>
    <w:p w:rsidR="00126779" w:rsidRPr="00D81358" w:rsidRDefault="00126779" w:rsidP="00126779">
      <w:pPr>
        <w:numPr>
          <w:ilvl w:val="0"/>
          <w:numId w:val="2"/>
        </w:numPr>
        <w:spacing w:after="120" w:line="276" w:lineRule="auto"/>
        <w:ind w:left="357" w:hanging="357"/>
        <w:jc w:val="both"/>
        <w:rPr>
          <w:rFonts w:eastAsia="Calibri" w:cs="Calibri"/>
          <w:szCs w:val="22"/>
        </w:rPr>
      </w:pPr>
      <w:r w:rsidRPr="00D81358">
        <w:rPr>
          <w:rFonts w:eastAsia="Calibri" w:cs="Calibri"/>
          <w:szCs w:val="22"/>
        </w:rPr>
        <w:t xml:space="preserve">There were four permissions granted in the 2017/18 monitoring year that will result in a change in Class B </w:t>
      </w:r>
      <w:proofErr w:type="spellStart"/>
      <w:r w:rsidRPr="00D81358">
        <w:rPr>
          <w:rFonts w:eastAsia="Calibri" w:cs="Calibri"/>
          <w:szCs w:val="22"/>
        </w:rPr>
        <w:t>floorspace</w:t>
      </w:r>
      <w:proofErr w:type="spellEnd"/>
      <w:r w:rsidRPr="00D81358">
        <w:rPr>
          <w:rFonts w:eastAsia="Calibri" w:cs="Calibri"/>
          <w:szCs w:val="22"/>
        </w:rPr>
        <w:t xml:space="preserve"> within protected key employment sites if implemented. Two of these permissions were for the conversion of B8 </w:t>
      </w:r>
      <w:proofErr w:type="spellStart"/>
      <w:r w:rsidRPr="00D81358">
        <w:rPr>
          <w:rFonts w:eastAsia="Calibri" w:cs="Calibri"/>
          <w:szCs w:val="22"/>
        </w:rPr>
        <w:t>floorspace</w:t>
      </w:r>
      <w:proofErr w:type="spellEnd"/>
      <w:r w:rsidRPr="00D81358">
        <w:rPr>
          <w:rFonts w:eastAsia="Calibri" w:cs="Calibri"/>
          <w:szCs w:val="22"/>
        </w:rPr>
        <w:t xml:space="preserve"> to flexible B1/B2/B8 </w:t>
      </w:r>
      <w:proofErr w:type="spellStart"/>
      <w:r w:rsidRPr="00D81358">
        <w:rPr>
          <w:rFonts w:eastAsia="Calibri" w:cs="Calibri"/>
          <w:szCs w:val="22"/>
        </w:rPr>
        <w:t>floorspace</w:t>
      </w:r>
      <w:proofErr w:type="spellEnd"/>
      <w:r w:rsidRPr="00D81358">
        <w:rPr>
          <w:rFonts w:eastAsia="Calibri" w:cs="Calibri"/>
          <w:szCs w:val="22"/>
        </w:rPr>
        <w:t xml:space="preserve">. Another of these permissions was for a change of use of parts of protected key employment sites from Class B use to Sui Generis use which would continue to have an economic function as taxi and minibus administration offices. The final permission for the 2017/18 monitoring year was for the erection of new B1 </w:t>
      </w:r>
      <w:proofErr w:type="spellStart"/>
      <w:r w:rsidRPr="00D81358">
        <w:rPr>
          <w:rFonts w:eastAsia="Calibri" w:cs="Calibri"/>
          <w:szCs w:val="22"/>
        </w:rPr>
        <w:t>floorspace</w:t>
      </w:r>
      <w:proofErr w:type="spellEnd"/>
      <w:r w:rsidRPr="00D81358">
        <w:rPr>
          <w:rFonts w:eastAsia="Calibri" w:cs="Calibri"/>
          <w:szCs w:val="22"/>
        </w:rPr>
        <w:t xml:space="preserve">. Overall there was a net gain of B Class </w:t>
      </w:r>
      <w:proofErr w:type="spellStart"/>
      <w:r w:rsidRPr="00D81358">
        <w:rPr>
          <w:rFonts w:eastAsia="Calibri" w:cs="Calibri"/>
          <w:szCs w:val="22"/>
        </w:rPr>
        <w:t>floorspace</w:t>
      </w:r>
      <w:proofErr w:type="spellEnd"/>
      <w:r w:rsidRPr="00D81358">
        <w:rPr>
          <w:rFonts w:eastAsia="Calibri" w:cs="Calibri"/>
          <w:szCs w:val="22"/>
        </w:rPr>
        <w:t>. Details of the permissions are as follows:</w:t>
      </w:r>
    </w:p>
    <w:p w:rsidR="00126779" w:rsidRPr="00D81358" w:rsidRDefault="00126779" w:rsidP="00126779">
      <w:pPr>
        <w:pStyle w:val="ListParagraph"/>
        <w:numPr>
          <w:ilvl w:val="0"/>
          <w:numId w:val="3"/>
        </w:numPr>
        <w:spacing w:after="200" w:line="276" w:lineRule="auto"/>
        <w:ind w:left="993"/>
        <w:jc w:val="both"/>
        <w:rPr>
          <w:rFonts w:eastAsia="Calibri" w:cs="Calibri"/>
          <w:szCs w:val="22"/>
        </w:rPr>
      </w:pPr>
      <w:r w:rsidRPr="00D81358">
        <w:rPr>
          <w:rFonts w:eastAsia="Calibri" w:cs="Calibri"/>
          <w:szCs w:val="22"/>
        </w:rPr>
        <w:t>Application 17/01168/FUL</w:t>
      </w:r>
      <w:r w:rsidRPr="00D81358">
        <w:rPr>
          <w:rFonts w:cstheme="minorHAnsi"/>
        </w:rPr>
        <w:t xml:space="preserve"> </w:t>
      </w:r>
      <w:r w:rsidRPr="00D81358">
        <w:rPr>
          <w:rFonts w:eastAsia="Calibri" w:cs="Calibri"/>
          <w:szCs w:val="22"/>
        </w:rPr>
        <w:t>related to a very small (11.4m</w:t>
      </w:r>
      <w:r w:rsidRPr="00D81358">
        <w:rPr>
          <w:rFonts w:eastAsia="Calibri" w:cs="Calibri"/>
          <w:szCs w:val="22"/>
          <w:vertAlign w:val="superscript"/>
        </w:rPr>
        <w:t>2</w:t>
      </w:r>
      <w:r w:rsidRPr="00D81358">
        <w:rPr>
          <w:rFonts w:eastAsia="Calibri" w:cs="Calibri"/>
          <w:szCs w:val="22"/>
        </w:rPr>
        <w:t xml:space="preserve">) unit within a larger block of modern serviced offices on the Oxford Business Park. The proposed Sui Generis use is compatible with the wider use of the building and maintains the overall employment function. B1a office uses are maintained within the vast majority of the building and therefore there was no overall loss of a protected key employment site. This is however the second permission in as many years for the conversion of a small office in the Oxford Business Park to a Sui Generis </w:t>
      </w:r>
      <w:proofErr w:type="gramStart"/>
      <w:r w:rsidRPr="00D81358">
        <w:rPr>
          <w:rFonts w:eastAsia="Calibri" w:cs="Calibri"/>
          <w:szCs w:val="22"/>
        </w:rPr>
        <w:t>use</w:t>
      </w:r>
      <w:proofErr w:type="gramEnd"/>
      <w:r w:rsidRPr="00D81358">
        <w:rPr>
          <w:rFonts w:eastAsia="Calibri" w:cs="Calibri"/>
          <w:szCs w:val="22"/>
        </w:rPr>
        <w:t xml:space="preserve">. </w:t>
      </w:r>
    </w:p>
    <w:p w:rsidR="00126779" w:rsidRPr="00D81358" w:rsidRDefault="00126779" w:rsidP="00126779">
      <w:pPr>
        <w:pStyle w:val="ListParagraph"/>
        <w:spacing w:after="200" w:line="276" w:lineRule="auto"/>
        <w:ind w:left="993"/>
        <w:jc w:val="both"/>
        <w:rPr>
          <w:rFonts w:eastAsia="Calibri" w:cs="Calibri"/>
          <w:sz w:val="10"/>
          <w:szCs w:val="10"/>
        </w:rPr>
      </w:pPr>
    </w:p>
    <w:p w:rsidR="00126779" w:rsidRPr="000B3DF3" w:rsidRDefault="00126779" w:rsidP="00126779">
      <w:pPr>
        <w:pStyle w:val="ListParagraph"/>
        <w:numPr>
          <w:ilvl w:val="0"/>
          <w:numId w:val="3"/>
        </w:numPr>
        <w:spacing w:after="200" w:line="276" w:lineRule="auto"/>
        <w:ind w:left="993"/>
        <w:jc w:val="both"/>
        <w:rPr>
          <w:rFonts w:cstheme="minorHAnsi"/>
        </w:rPr>
      </w:pPr>
      <w:r w:rsidRPr="00D81358">
        <w:rPr>
          <w:rFonts w:eastAsia="Calibri" w:cs="Calibri"/>
          <w:szCs w:val="22"/>
        </w:rPr>
        <w:t>Application</w:t>
      </w:r>
      <w:r>
        <w:rPr>
          <w:rFonts w:eastAsia="Calibri" w:cs="Calibri"/>
          <w:szCs w:val="22"/>
        </w:rPr>
        <w:t>s</w:t>
      </w:r>
      <w:r w:rsidRPr="00D81358">
        <w:rPr>
          <w:rFonts w:eastAsia="Calibri" w:cs="Calibri"/>
          <w:szCs w:val="22"/>
        </w:rPr>
        <w:t xml:space="preserve"> 17/00621/FUL and 17/00792 both propose the conversion of a combined 1616m</w:t>
      </w:r>
      <w:r w:rsidRPr="00D81358">
        <w:rPr>
          <w:rFonts w:eastAsia="Calibri" w:cs="Calibri"/>
          <w:szCs w:val="22"/>
          <w:vertAlign w:val="superscript"/>
        </w:rPr>
        <w:t>2</w:t>
      </w:r>
      <w:r w:rsidRPr="00D81358">
        <w:rPr>
          <w:rFonts w:eastAsia="Calibri" w:cs="Calibri"/>
          <w:szCs w:val="22"/>
        </w:rPr>
        <w:t xml:space="preserve"> of B8 storage/distribution </w:t>
      </w:r>
      <w:proofErr w:type="spellStart"/>
      <w:r w:rsidRPr="00D81358">
        <w:rPr>
          <w:rFonts w:eastAsia="Calibri" w:cs="Calibri"/>
          <w:szCs w:val="22"/>
        </w:rPr>
        <w:t>floorspace</w:t>
      </w:r>
      <w:proofErr w:type="spellEnd"/>
      <w:r w:rsidRPr="00D81358">
        <w:rPr>
          <w:rFonts w:eastAsia="Calibri" w:cs="Calibri"/>
          <w:szCs w:val="22"/>
        </w:rPr>
        <w:t xml:space="preserve"> to flexible B1/B2/B8 spaces on the Nuffield Industrial Estate. The proposal would retain employment use on a key protected </w:t>
      </w:r>
      <w:r w:rsidRPr="000B3DF3">
        <w:rPr>
          <w:rFonts w:eastAsia="Calibri" w:cs="Calibri"/>
          <w:szCs w:val="22"/>
        </w:rPr>
        <w:t xml:space="preserve">employment site and also maximise the employment potential through the offer of other </w:t>
      </w:r>
      <w:r w:rsidRPr="000B3DF3">
        <w:rPr>
          <w:rFonts w:eastAsia="Calibri" w:cs="Calibri"/>
          <w:szCs w:val="22"/>
        </w:rPr>
        <w:lastRenderedPageBreak/>
        <w:t xml:space="preserve">B Class uses with typically higher employment densities. Due to highways concerns, the site will not be used for B1a (office) space by way of planning conditions.   </w:t>
      </w:r>
      <w:r w:rsidRPr="000B3DF3">
        <w:rPr>
          <w:rFonts w:eastAsia="Calibri" w:cstheme="minorHAnsi"/>
          <w:szCs w:val="22"/>
        </w:rPr>
        <w:t xml:space="preserve"> </w:t>
      </w:r>
    </w:p>
    <w:p w:rsidR="00126779" w:rsidRPr="000B3DF3" w:rsidRDefault="00126779" w:rsidP="00126779">
      <w:pPr>
        <w:pStyle w:val="ListParagraph"/>
        <w:spacing w:after="200" w:line="276" w:lineRule="auto"/>
        <w:ind w:left="993"/>
        <w:jc w:val="both"/>
        <w:rPr>
          <w:rFonts w:cstheme="minorHAnsi"/>
          <w:sz w:val="10"/>
          <w:szCs w:val="10"/>
        </w:rPr>
      </w:pPr>
    </w:p>
    <w:p w:rsidR="00126779" w:rsidRPr="000B3DF3" w:rsidRDefault="00126779" w:rsidP="00126779">
      <w:pPr>
        <w:pStyle w:val="ListParagraph"/>
        <w:numPr>
          <w:ilvl w:val="0"/>
          <w:numId w:val="3"/>
        </w:numPr>
        <w:spacing w:after="200" w:line="276" w:lineRule="auto"/>
        <w:ind w:left="993"/>
        <w:jc w:val="both"/>
        <w:rPr>
          <w:rFonts w:eastAsia="Calibri" w:cs="Calibri"/>
          <w:szCs w:val="22"/>
        </w:rPr>
      </w:pPr>
      <w:r w:rsidRPr="000B3DF3">
        <w:rPr>
          <w:rFonts w:eastAsia="Calibri" w:cs="Calibri"/>
          <w:szCs w:val="22"/>
        </w:rPr>
        <w:t xml:space="preserve">Application 17/03419/FUL proposes the erection of a 3-storey building (Use Class B1) and laboratory space at the Magdalen Centre, Littlemore. The proposal would provide new employment </w:t>
      </w:r>
      <w:proofErr w:type="spellStart"/>
      <w:r w:rsidRPr="000B3DF3">
        <w:rPr>
          <w:rFonts w:eastAsia="Calibri" w:cs="Calibri"/>
          <w:szCs w:val="22"/>
        </w:rPr>
        <w:t>floorspace</w:t>
      </w:r>
      <w:proofErr w:type="spellEnd"/>
      <w:r w:rsidRPr="000B3DF3">
        <w:rPr>
          <w:rFonts w:eastAsia="Calibri" w:cs="Calibri"/>
          <w:szCs w:val="22"/>
        </w:rPr>
        <w:t xml:space="preserve"> above an </w:t>
      </w:r>
      <w:proofErr w:type="spellStart"/>
      <w:r w:rsidRPr="000B3DF3">
        <w:rPr>
          <w:rFonts w:eastAsia="Calibri" w:cs="Calibri"/>
          <w:szCs w:val="22"/>
        </w:rPr>
        <w:t>undercroft</w:t>
      </w:r>
      <w:proofErr w:type="spellEnd"/>
      <w:r w:rsidRPr="000B3DF3">
        <w:rPr>
          <w:rFonts w:eastAsia="Calibri" w:cs="Calibri"/>
          <w:szCs w:val="22"/>
        </w:rPr>
        <w:t xml:space="preserve"> parking and arrival space on an existing key protected employment site. </w:t>
      </w:r>
    </w:p>
    <w:p w:rsidR="00126779" w:rsidRPr="000B3DF3" w:rsidRDefault="006041AE" w:rsidP="00126779">
      <w:pPr>
        <w:numPr>
          <w:ilvl w:val="0"/>
          <w:numId w:val="2"/>
        </w:numPr>
        <w:spacing w:after="200" w:line="276" w:lineRule="auto"/>
        <w:ind w:left="426" w:hanging="426"/>
        <w:jc w:val="both"/>
        <w:rPr>
          <w:rFonts w:eastAsia="Calibri" w:cs="Calibri"/>
          <w:szCs w:val="22"/>
        </w:rPr>
      </w:pPr>
      <w:r>
        <w:rPr>
          <w:rFonts w:eastAsia="Calibri" w:cs="Calibri"/>
          <w:szCs w:val="22"/>
        </w:rPr>
        <w:t>T</w:t>
      </w:r>
      <w:r w:rsidR="00126779" w:rsidRPr="000B3DF3">
        <w:rPr>
          <w:rFonts w:eastAsia="Calibri" w:cs="Calibri"/>
          <w:szCs w:val="22"/>
        </w:rPr>
        <w:t>he City Council’s planning policies are continuing to maintain protected key employment sites.</w:t>
      </w:r>
    </w:p>
    <w:p w:rsidR="00126779" w:rsidRPr="002B3EC1" w:rsidRDefault="00126779" w:rsidP="00126779">
      <w:pPr>
        <w:numPr>
          <w:ilvl w:val="0"/>
          <w:numId w:val="2"/>
        </w:numPr>
        <w:spacing w:after="200" w:line="276" w:lineRule="auto"/>
        <w:ind w:left="426" w:hanging="426"/>
        <w:jc w:val="both"/>
        <w:rPr>
          <w:rFonts w:eastAsia="Calibri" w:cs="Calibri"/>
          <w:szCs w:val="22"/>
        </w:rPr>
      </w:pPr>
      <w:r w:rsidRPr="002B3EC1">
        <w:rPr>
          <w:rFonts w:eastAsia="Calibri" w:cs="Calibri"/>
          <w:szCs w:val="22"/>
        </w:rPr>
        <w:t xml:space="preserve">During the 2017/18 monitoring year, planning permission was also granted for new Class B </w:t>
      </w:r>
      <w:proofErr w:type="spellStart"/>
      <w:r w:rsidRPr="002B3EC1">
        <w:rPr>
          <w:rFonts w:eastAsia="Calibri" w:cs="Calibri"/>
          <w:szCs w:val="22"/>
        </w:rPr>
        <w:t>floorspace</w:t>
      </w:r>
      <w:proofErr w:type="spellEnd"/>
      <w:r w:rsidRPr="002B3EC1">
        <w:rPr>
          <w:rFonts w:eastAsia="Calibri" w:cs="Calibri"/>
          <w:szCs w:val="22"/>
        </w:rPr>
        <w:t xml:space="preserve"> within protected key employment sites (see Indicator 2).</w:t>
      </w:r>
    </w:p>
    <w:bookmarkStart w:id="7" w:name="_Toc529178337"/>
    <w:p w:rsidR="00126779" w:rsidRPr="007E2BF2" w:rsidRDefault="00126779" w:rsidP="00126779">
      <w:pPr>
        <w:outlineLvl w:val="1"/>
        <w:rPr>
          <w:rFonts w:asciiTheme="minorHAnsi" w:hAnsiTheme="minorHAnsi"/>
          <w:b/>
          <w:sz w:val="24"/>
          <w:lang w:eastAsia="en-GB"/>
        </w:rPr>
      </w:pPr>
      <w:r w:rsidRPr="007E2BF2">
        <w:rPr>
          <w:rFonts w:asciiTheme="minorHAnsi" w:hAnsiTheme="minorHAnsi"/>
          <w:b/>
          <w:noProof/>
          <w:sz w:val="24"/>
          <w:lang w:eastAsia="en-GB"/>
        </w:rPr>
        <mc:AlternateContent>
          <mc:Choice Requires="wps">
            <w:drawing>
              <wp:anchor distT="0" distB="0" distL="114300" distR="114300" simplePos="0" relativeHeight="251664384" behindDoc="1" locked="0" layoutInCell="1" allowOverlap="1" wp14:anchorId="5472CB58" wp14:editId="52EFD4B8">
                <wp:simplePos x="0" y="0"/>
                <wp:positionH relativeFrom="column">
                  <wp:posOffset>-66675</wp:posOffset>
                </wp:positionH>
                <wp:positionV relativeFrom="paragraph">
                  <wp:posOffset>-13335</wp:posOffset>
                </wp:positionV>
                <wp:extent cx="5829300" cy="14763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5829300"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FD83ED" id="Rectangle 129" o:spid="_x0000_s1026" style="position:absolute;margin-left:-5.25pt;margin-top:-1.05pt;width:459pt;height:11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" fillcolor="#dbeef4" stroked="f" strokeweight="2pt"/>
            </w:pict>
          </mc:Fallback>
        </mc:AlternateContent>
      </w:r>
      <w:r w:rsidRPr="007E2BF2">
        <w:rPr>
          <w:rFonts w:asciiTheme="minorHAnsi" w:hAnsiTheme="minorHAnsi"/>
          <w:b/>
          <w:sz w:val="24"/>
          <w:lang w:eastAsia="en-GB"/>
        </w:rPr>
        <w:t>Indicator 2: PLANNING PERMISSIONS GRANTED FOR NEW B1 FLOORSPACE</w:t>
      </w:r>
      <w:bookmarkEnd w:id="7"/>
    </w:p>
    <w:p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rsidR="00126779" w:rsidRPr="007E2BF2" w:rsidRDefault="00126779" w:rsidP="00126779">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r w:rsidRPr="007E2BF2">
        <w:rPr>
          <w:rFonts w:eastAsia="Calibri" w:cs="Calibri"/>
          <w:b/>
          <w:color w:val="244061" w:themeColor="accent1" w:themeShade="80"/>
          <w:szCs w:val="22"/>
        </w:rPr>
        <w:tab/>
      </w:r>
      <w:r w:rsidRPr="007E2BF2">
        <w:rPr>
          <w:rFonts w:eastAsia="Calibri" w:cs="Calibri"/>
          <w:color w:val="244061" w:themeColor="accent1" w:themeShade="80"/>
          <w:sz w:val="20"/>
          <w:szCs w:val="22"/>
        </w:rPr>
        <w:t>(Oxford Core Strategy Policy CS27)</w:t>
      </w:r>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rsidTr="00126779">
        <w:trPr>
          <w:trHeight w:val="218"/>
        </w:trPr>
        <w:tc>
          <w:tcPr>
            <w:tcW w:w="5420" w:type="dxa"/>
          </w:tcPr>
          <w:p w:rsidR="00126779" w:rsidRPr="007E2BF2" w:rsidRDefault="00126779" w:rsidP="00126779">
            <w:pPr>
              <w:autoSpaceDE w:val="0"/>
              <w:autoSpaceDN w:val="0"/>
              <w:adjustRightInd w:val="0"/>
              <w:ind w:left="-108"/>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Performance against target 2017/18</w:t>
            </w:r>
            <w:r w:rsidRPr="007E2BF2">
              <w:rPr>
                <w:rFonts w:ascii="Arial" w:eastAsia="Calibri" w:hAnsi="Arial" w:cs="Calibri"/>
                <w:b/>
                <w:color w:val="244061" w:themeColor="accent1" w:themeShade="80"/>
                <w:sz w:val="20"/>
                <w:szCs w:val="22"/>
              </w:rPr>
              <w:t>:</w:t>
            </w:r>
          </w:p>
        </w:tc>
        <w:tc>
          <w:tcPr>
            <w:tcW w:w="3714" w:type="dxa"/>
            <w:gridSpan w:val="2"/>
          </w:tcPr>
          <w:p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26779" w:rsidRPr="00A34BB6" w:rsidRDefault="00126779" w:rsidP="00126779">
            <w:pPr>
              <w:autoSpaceDE w:val="0"/>
              <w:autoSpaceDN w:val="0"/>
              <w:adjustRightInd w:val="0"/>
              <w:rPr>
                <w:rFonts w:ascii="Arial" w:eastAsia="Calibri" w:hAnsi="Arial" w:cs="Calibri"/>
                <w:b/>
                <w:color w:val="244061" w:themeColor="accent1" w:themeShade="80"/>
                <w:sz w:val="4"/>
                <w:szCs w:val="4"/>
              </w:rPr>
            </w:pPr>
          </w:p>
          <w:p w:rsidR="00126779" w:rsidRPr="001D0920" w:rsidRDefault="00126779" w:rsidP="00126779">
            <w:pPr>
              <w:autoSpaceDE w:val="0"/>
              <w:autoSpaceDN w:val="0"/>
              <w:adjustRightInd w:val="0"/>
              <w:rPr>
                <w:rFonts w:ascii="Arial" w:eastAsia="Calibri" w:hAnsi="Arial" w:cs="Calibri"/>
                <w:b/>
                <w:color w:val="244061" w:themeColor="accent1" w:themeShade="80"/>
                <w:sz w:val="4"/>
                <w:szCs w:val="4"/>
              </w:rPr>
            </w:pPr>
          </w:p>
        </w:tc>
      </w:tr>
      <w:tr w:rsidR="00126779" w:rsidRPr="007E2BF2" w:rsidTr="00126779">
        <w:tc>
          <w:tcPr>
            <w:tcW w:w="5420" w:type="dxa"/>
            <w:vMerge w:val="restart"/>
          </w:tcPr>
          <w:p w:rsidR="00126779" w:rsidRPr="001D0920" w:rsidRDefault="00126779" w:rsidP="00126779">
            <w:pPr>
              <w:autoSpaceDE w:val="0"/>
              <w:autoSpaceDN w:val="0"/>
              <w:adjustRightInd w:val="0"/>
              <w:jc w:val="center"/>
              <w:rPr>
                <w:rFonts w:ascii="Arial" w:eastAsia="Calibri" w:hAnsi="Arial" w:cs="Calibri"/>
                <w:b/>
                <w:color w:val="244061" w:themeColor="accent1" w:themeShade="80"/>
                <w:sz w:val="10"/>
                <w:szCs w:val="10"/>
              </w:rPr>
            </w:pP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55C08A4F" wp14:editId="5686CF04">
                  <wp:extent cx="1388853" cy="418201"/>
                  <wp:effectExtent l="0" t="0" r="1905" b="1270"/>
                  <wp:docPr id="145" name="Picture 14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0CC0AFE3" wp14:editId="57284C5D">
                  <wp:extent cx="819150" cy="246657"/>
                  <wp:effectExtent l="0" t="0" r="0" b="1270"/>
                  <wp:docPr id="146" name="Picture 14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p w:rsidR="00126779" w:rsidRPr="001D0920" w:rsidRDefault="00126779" w:rsidP="00126779">
            <w:pPr>
              <w:autoSpaceDE w:val="0"/>
              <w:autoSpaceDN w:val="0"/>
              <w:adjustRightInd w:val="0"/>
              <w:jc w:val="center"/>
              <w:rPr>
                <w:rFonts w:ascii="Arial" w:eastAsia="Calibri" w:hAnsi="Arial" w:cs="Calibri"/>
                <w:b/>
                <w:color w:val="244061" w:themeColor="accent1" w:themeShade="80"/>
                <w:sz w:val="10"/>
                <w:szCs w:val="10"/>
              </w:rPr>
            </w:pPr>
          </w:p>
        </w:tc>
      </w:tr>
      <w:tr w:rsidR="00126779" w:rsidRPr="007E2BF2" w:rsidTr="00126779">
        <w:tc>
          <w:tcPr>
            <w:tcW w:w="5420" w:type="dxa"/>
            <w:vMerge/>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2015/16</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40066EC4" wp14:editId="51D42D05">
                  <wp:extent cx="819150" cy="246657"/>
                  <wp:effectExtent l="0" t="0" r="0" b="1270"/>
                  <wp:docPr id="150" name="Picture 15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rsidR="00126779" w:rsidRPr="007E2BF2" w:rsidRDefault="00126779" w:rsidP="00126779">
      <w:pPr>
        <w:rPr>
          <w:rFonts w:eastAsia="Calibri" w:cs="Calibri"/>
          <w:color w:val="000000"/>
          <w:szCs w:val="22"/>
        </w:rPr>
      </w:pP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623"/>
        <w:gridCol w:w="1548"/>
        <w:gridCol w:w="1636"/>
        <w:gridCol w:w="1513"/>
        <w:gridCol w:w="1321"/>
        <w:gridCol w:w="1601"/>
      </w:tblGrid>
      <w:tr w:rsidR="00126779" w:rsidRPr="007E2BF2" w:rsidTr="00126779">
        <w:tc>
          <w:tcPr>
            <w:tcW w:w="1623" w:type="dxa"/>
          </w:tcPr>
          <w:p w:rsidR="00126779" w:rsidRPr="00CD232F" w:rsidRDefault="00126779" w:rsidP="00126779">
            <w:pPr>
              <w:spacing w:before="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Monitoring Year</w:t>
            </w:r>
          </w:p>
        </w:tc>
        <w:tc>
          <w:tcPr>
            <w:tcW w:w="1548" w:type="dxa"/>
          </w:tcPr>
          <w:p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B1a </w:t>
            </w:r>
          </w:p>
          <w:p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Office</w:t>
            </w:r>
          </w:p>
        </w:tc>
        <w:tc>
          <w:tcPr>
            <w:tcW w:w="1636" w:type="dxa"/>
          </w:tcPr>
          <w:p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B1b </w:t>
            </w:r>
          </w:p>
          <w:p w:rsidR="00126779" w:rsidRPr="00CD232F" w:rsidRDefault="00126779" w:rsidP="00126779">
            <w:pPr>
              <w:jc w:val="center"/>
              <w:rPr>
                <w:rFonts w:asciiTheme="minorHAnsi" w:hAnsiTheme="minorHAnsi"/>
                <w:b/>
                <w:color w:val="262626" w:themeColor="text1" w:themeTint="D9"/>
                <w:sz w:val="20"/>
                <w:szCs w:val="20"/>
              </w:rPr>
            </w:pPr>
            <w:r w:rsidRPr="00CD232F">
              <w:rPr>
                <w:rFonts w:asciiTheme="minorHAnsi" w:hAnsiTheme="minorHAnsi"/>
                <w:color w:val="262626" w:themeColor="text1" w:themeTint="D9"/>
                <w:sz w:val="20"/>
                <w:szCs w:val="20"/>
              </w:rPr>
              <w:t>Research + development</w:t>
            </w:r>
          </w:p>
        </w:tc>
        <w:tc>
          <w:tcPr>
            <w:tcW w:w="1513" w:type="dxa"/>
          </w:tcPr>
          <w:p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B1c </w:t>
            </w:r>
          </w:p>
          <w:p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Light industry</w:t>
            </w:r>
          </w:p>
        </w:tc>
        <w:tc>
          <w:tcPr>
            <w:tcW w:w="1321" w:type="dxa"/>
          </w:tcPr>
          <w:p w:rsidR="00126779" w:rsidRPr="00CD232F" w:rsidRDefault="00126779" w:rsidP="00126779">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B1</w:t>
            </w:r>
          </w:p>
          <w:p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General/ mixed B1 use</w:t>
            </w:r>
          </w:p>
        </w:tc>
        <w:tc>
          <w:tcPr>
            <w:tcW w:w="1601" w:type="dxa"/>
          </w:tcPr>
          <w:p w:rsidR="00126779" w:rsidRPr="00CD232F" w:rsidRDefault="00126779" w:rsidP="00126779">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 xml:space="preserve">Total B1 </w:t>
            </w:r>
            <w:proofErr w:type="spellStart"/>
            <w:r w:rsidRPr="00CD232F">
              <w:rPr>
                <w:rFonts w:asciiTheme="minorHAnsi" w:hAnsiTheme="minorHAnsi"/>
                <w:b/>
                <w:color w:val="262626" w:themeColor="text1" w:themeTint="D9"/>
                <w:sz w:val="20"/>
                <w:szCs w:val="20"/>
              </w:rPr>
              <w:t>floorspace</w:t>
            </w:r>
            <w:proofErr w:type="spellEnd"/>
            <w:r w:rsidRPr="00CD232F">
              <w:rPr>
                <w:rFonts w:asciiTheme="minorHAnsi" w:hAnsiTheme="minorHAnsi"/>
                <w:b/>
                <w:color w:val="262626" w:themeColor="text1" w:themeTint="D9"/>
                <w:sz w:val="20"/>
                <w:szCs w:val="20"/>
              </w:rPr>
              <w:t xml:space="preserve"> permitted</w:t>
            </w:r>
          </w:p>
        </w:tc>
      </w:tr>
      <w:tr w:rsidR="00126779" w:rsidRPr="007E2BF2" w:rsidTr="00126779">
        <w:tc>
          <w:tcPr>
            <w:tcW w:w="1623" w:type="dxa"/>
            <w:shd w:val="clear" w:color="auto" w:fill="DBE5F1" w:themeFill="accent1" w:themeFillTint="33"/>
          </w:tcPr>
          <w:p w:rsidR="00126779" w:rsidRPr="00CD232F" w:rsidRDefault="00126779" w:rsidP="00126779">
            <w:pPr>
              <w:spacing w:before="60" w:after="60"/>
              <w:jc w:val="center"/>
              <w:rPr>
                <w:rFonts w:asciiTheme="minorHAnsi" w:hAnsiTheme="minorHAnsi"/>
                <w:b/>
                <w:color w:val="262626" w:themeColor="text1" w:themeTint="D9"/>
                <w:sz w:val="20"/>
                <w:szCs w:val="20"/>
              </w:rPr>
            </w:pPr>
            <w:r>
              <w:rPr>
                <w:rFonts w:asciiTheme="minorHAnsi" w:hAnsiTheme="minorHAnsi"/>
                <w:b/>
                <w:color w:val="262626" w:themeColor="text1" w:themeTint="D9"/>
                <w:sz w:val="20"/>
                <w:szCs w:val="20"/>
              </w:rPr>
              <w:t>2017/18</w:t>
            </w:r>
          </w:p>
        </w:tc>
        <w:tc>
          <w:tcPr>
            <w:tcW w:w="1548" w:type="dxa"/>
            <w:shd w:val="clear" w:color="auto" w:fill="DBE5F1" w:themeFill="accent1" w:themeFillTint="33"/>
          </w:tcPr>
          <w:p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3,699m</w:t>
            </w:r>
            <w:r>
              <w:rPr>
                <w:rFonts w:asciiTheme="minorHAnsi" w:hAnsiTheme="minorHAnsi"/>
                <w:color w:val="262626" w:themeColor="text1" w:themeTint="D9"/>
                <w:sz w:val="20"/>
                <w:szCs w:val="20"/>
                <w:vertAlign w:val="superscript"/>
              </w:rPr>
              <w:t>2</w:t>
            </w:r>
          </w:p>
        </w:tc>
        <w:tc>
          <w:tcPr>
            <w:tcW w:w="1636" w:type="dxa"/>
            <w:shd w:val="clear" w:color="auto" w:fill="DBE5F1" w:themeFill="accent1" w:themeFillTint="33"/>
          </w:tcPr>
          <w:p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2,566m</w:t>
            </w:r>
            <w:r>
              <w:rPr>
                <w:rFonts w:asciiTheme="minorHAnsi" w:hAnsiTheme="minorHAnsi"/>
                <w:color w:val="262626" w:themeColor="text1" w:themeTint="D9"/>
                <w:sz w:val="20"/>
                <w:szCs w:val="20"/>
                <w:vertAlign w:val="superscript"/>
              </w:rPr>
              <w:t>2</w:t>
            </w:r>
          </w:p>
        </w:tc>
        <w:tc>
          <w:tcPr>
            <w:tcW w:w="1513" w:type="dxa"/>
            <w:shd w:val="clear" w:color="auto" w:fill="DBE5F1" w:themeFill="accent1" w:themeFillTint="33"/>
          </w:tcPr>
          <w:p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28m</w:t>
            </w:r>
            <w:r>
              <w:rPr>
                <w:rFonts w:asciiTheme="minorHAnsi" w:hAnsiTheme="minorHAnsi"/>
                <w:color w:val="262626" w:themeColor="text1" w:themeTint="D9"/>
                <w:sz w:val="20"/>
                <w:szCs w:val="20"/>
                <w:vertAlign w:val="superscript"/>
              </w:rPr>
              <w:t>2</w:t>
            </w:r>
          </w:p>
        </w:tc>
        <w:tc>
          <w:tcPr>
            <w:tcW w:w="1321" w:type="dxa"/>
            <w:shd w:val="clear" w:color="auto" w:fill="DBE5F1" w:themeFill="accent1" w:themeFillTint="33"/>
          </w:tcPr>
          <w:p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4,154m</w:t>
            </w:r>
            <w:r>
              <w:rPr>
                <w:rFonts w:asciiTheme="minorHAnsi" w:hAnsiTheme="minorHAnsi"/>
                <w:color w:val="262626" w:themeColor="text1" w:themeTint="D9"/>
                <w:sz w:val="20"/>
                <w:szCs w:val="20"/>
                <w:vertAlign w:val="superscript"/>
              </w:rPr>
              <w:t>2</w:t>
            </w:r>
          </w:p>
        </w:tc>
        <w:tc>
          <w:tcPr>
            <w:tcW w:w="1601" w:type="dxa"/>
            <w:shd w:val="clear" w:color="auto" w:fill="DBE5F1" w:themeFill="accent1" w:themeFillTint="33"/>
          </w:tcPr>
          <w:p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10,447m</w:t>
            </w:r>
            <w:r>
              <w:rPr>
                <w:rFonts w:asciiTheme="minorHAnsi" w:hAnsiTheme="minorHAnsi"/>
                <w:color w:val="262626" w:themeColor="text1" w:themeTint="D9"/>
                <w:sz w:val="20"/>
                <w:szCs w:val="20"/>
                <w:vertAlign w:val="superscript"/>
              </w:rPr>
              <w:t>2</w:t>
            </w:r>
          </w:p>
        </w:tc>
      </w:tr>
      <w:tr w:rsidR="00126779" w:rsidRPr="007E2BF2" w:rsidTr="00126779">
        <w:tc>
          <w:tcPr>
            <w:tcW w:w="1623" w:type="dxa"/>
            <w:shd w:val="clear" w:color="auto" w:fill="auto"/>
          </w:tcPr>
          <w:p w:rsidR="00126779" w:rsidRPr="00CD232F" w:rsidRDefault="00126779" w:rsidP="00126779">
            <w:pPr>
              <w:spacing w:before="60" w:after="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2016/17</w:t>
            </w:r>
          </w:p>
        </w:tc>
        <w:tc>
          <w:tcPr>
            <w:tcW w:w="1548"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13,060m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4,139m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3,574m</w:t>
            </w:r>
            <w:r w:rsidRPr="00CD232F">
              <w:rPr>
                <w:rFonts w:asciiTheme="minorHAnsi" w:hAnsiTheme="minorHAnsi"/>
                <w:color w:val="262626" w:themeColor="text1" w:themeTint="D9"/>
                <w:sz w:val="20"/>
                <w:szCs w:val="20"/>
                <w:vertAlign w:val="superscript"/>
              </w:rPr>
              <w:t>2</w:t>
            </w:r>
          </w:p>
        </w:tc>
        <w:tc>
          <w:tcPr>
            <w:tcW w:w="1601"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20,773m</w:t>
            </w:r>
            <w:r w:rsidRPr="00CD232F">
              <w:rPr>
                <w:rFonts w:asciiTheme="minorHAnsi" w:hAnsiTheme="minorHAnsi"/>
                <w:color w:val="262626" w:themeColor="text1" w:themeTint="D9"/>
                <w:sz w:val="20"/>
                <w:szCs w:val="20"/>
                <w:vertAlign w:val="superscript"/>
              </w:rPr>
              <w:t>2</w:t>
            </w:r>
          </w:p>
        </w:tc>
      </w:tr>
      <w:tr w:rsidR="00126779" w:rsidRPr="007E2BF2" w:rsidTr="00126779">
        <w:tc>
          <w:tcPr>
            <w:tcW w:w="1623"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2015/16</w:t>
            </w:r>
          </w:p>
        </w:tc>
        <w:tc>
          <w:tcPr>
            <w:tcW w:w="1548"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513m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48,458m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w:t>
            </w:r>
          </w:p>
        </w:tc>
        <w:tc>
          <w:tcPr>
            <w:tcW w:w="1601" w:type="dxa"/>
            <w:shd w:val="clear" w:color="auto" w:fill="auto"/>
          </w:tcPr>
          <w:p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48,971m</w:t>
            </w:r>
            <w:r w:rsidRPr="00CD232F">
              <w:rPr>
                <w:rFonts w:asciiTheme="minorHAnsi" w:hAnsiTheme="minorHAnsi"/>
                <w:color w:val="262626" w:themeColor="text1" w:themeTint="D9"/>
                <w:sz w:val="20"/>
                <w:szCs w:val="20"/>
                <w:vertAlign w:val="superscript"/>
              </w:rPr>
              <w:t>2</w:t>
            </w:r>
          </w:p>
        </w:tc>
      </w:tr>
    </w:tbl>
    <w:p w:rsidR="00126779" w:rsidRPr="007E2BF2" w:rsidRDefault="00126779" w:rsidP="00126779">
      <w:pPr>
        <w:jc w:val="center"/>
        <w:rPr>
          <w:rFonts w:cs="Calibri"/>
          <w:b/>
          <w:sz w:val="6"/>
          <w:szCs w:val="6"/>
        </w:rPr>
      </w:pPr>
    </w:p>
    <w:p w:rsidR="00126779" w:rsidRDefault="00126779" w:rsidP="00126779">
      <w:pPr>
        <w:jc w:val="center"/>
        <w:rPr>
          <w:rFonts w:cs="Calibri"/>
          <w:sz w:val="20"/>
          <w:szCs w:val="18"/>
        </w:rPr>
      </w:pPr>
      <w:r w:rsidRPr="007E2BF2">
        <w:rPr>
          <w:rFonts w:asciiTheme="minorHAnsi" w:hAnsiTheme="minorHAnsi" w:cstheme="minorHAnsi"/>
          <w:b/>
          <w:sz w:val="20"/>
          <w:szCs w:val="18"/>
        </w:rPr>
        <w:t xml:space="preserve">Table </w:t>
      </w:r>
      <w:r>
        <w:rPr>
          <w:rFonts w:eastAsia="Calibri" w:cs="Calibri"/>
          <w:b/>
          <w:color w:val="000000"/>
          <w:sz w:val="20"/>
          <w:szCs w:val="22"/>
        </w:rPr>
        <w:t>2</w:t>
      </w:r>
      <w:r w:rsidRPr="007E2BF2">
        <w:rPr>
          <w:rFonts w:cs="Calibri"/>
          <w:b/>
          <w:sz w:val="20"/>
          <w:szCs w:val="18"/>
        </w:rPr>
        <w:t xml:space="preserve">: </w:t>
      </w:r>
      <w:r w:rsidRPr="007E2BF2">
        <w:rPr>
          <w:rFonts w:asciiTheme="minorHAnsi" w:hAnsiTheme="minorHAnsi" w:cstheme="minorHAnsi"/>
          <w:sz w:val="20"/>
        </w:rPr>
        <w:t xml:space="preserve">New B1 </w:t>
      </w:r>
      <w:proofErr w:type="spellStart"/>
      <w:r w:rsidRPr="007E2BF2">
        <w:rPr>
          <w:rFonts w:asciiTheme="minorHAnsi" w:hAnsiTheme="minorHAnsi" w:cstheme="minorHAnsi"/>
          <w:sz w:val="20"/>
        </w:rPr>
        <w:t>floorspace</w:t>
      </w:r>
      <w:proofErr w:type="spellEnd"/>
      <w:r w:rsidRPr="007E2BF2">
        <w:rPr>
          <w:rFonts w:asciiTheme="minorHAnsi" w:hAnsiTheme="minorHAnsi" w:cstheme="minorHAnsi"/>
          <w:sz w:val="20"/>
        </w:rPr>
        <w:t xml:space="preserve"> </w:t>
      </w:r>
      <w:r>
        <w:rPr>
          <w:rFonts w:asciiTheme="minorHAnsi" w:hAnsiTheme="minorHAnsi" w:cstheme="minorHAnsi"/>
          <w:sz w:val="20"/>
        </w:rPr>
        <w:t xml:space="preserve">(GIA) </w:t>
      </w:r>
      <w:r w:rsidRPr="007E2BF2">
        <w:rPr>
          <w:rFonts w:asciiTheme="minorHAnsi" w:hAnsiTheme="minorHAnsi" w:cstheme="minorHAnsi"/>
          <w:sz w:val="20"/>
        </w:rPr>
        <w:t>permitted</w:t>
      </w:r>
      <w:r>
        <w:rPr>
          <w:rFonts w:cs="Calibri"/>
          <w:sz w:val="20"/>
          <w:szCs w:val="18"/>
        </w:rPr>
        <w:t xml:space="preserve"> 2015/16-2017/18 (gross)</w:t>
      </w:r>
    </w:p>
    <w:p w:rsidR="00126779" w:rsidRPr="002B7BBC" w:rsidRDefault="00126779" w:rsidP="00126779">
      <w:pPr>
        <w:jc w:val="center"/>
        <w:rPr>
          <w:rFonts w:cs="Calibri"/>
          <w:sz w:val="20"/>
          <w:szCs w:val="18"/>
        </w:rPr>
      </w:pPr>
    </w:p>
    <w:p w:rsidR="00126779" w:rsidRPr="00965D75" w:rsidRDefault="00126779" w:rsidP="00126779">
      <w:pPr>
        <w:numPr>
          <w:ilvl w:val="0"/>
          <w:numId w:val="2"/>
        </w:numPr>
        <w:spacing w:after="200" w:line="276" w:lineRule="auto"/>
        <w:ind w:left="426" w:hanging="426"/>
        <w:jc w:val="both"/>
        <w:rPr>
          <w:rFonts w:eastAsia="Calibri" w:cs="Times New Roman"/>
          <w:szCs w:val="22"/>
        </w:rPr>
      </w:pPr>
      <w:r w:rsidRPr="00965D75">
        <w:rPr>
          <w:rFonts w:eastAsia="Calibri" w:cs="Times New Roman"/>
          <w:szCs w:val="22"/>
        </w:rPr>
        <w:t>Table 2 shows that planning permission was granted for 10,447m</w:t>
      </w:r>
      <w:r w:rsidRPr="00965D75">
        <w:rPr>
          <w:rFonts w:eastAsia="Calibri" w:cs="Times New Roman"/>
          <w:szCs w:val="22"/>
          <w:vertAlign w:val="superscript"/>
        </w:rPr>
        <w:t>2</w:t>
      </w:r>
      <w:r w:rsidRPr="00965D75">
        <w:rPr>
          <w:rFonts w:eastAsia="Calibri" w:cs="Times New Roman"/>
          <w:szCs w:val="22"/>
        </w:rPr>
        <w:t xml:space="preserve"> of new B1 </w:t>
      </w:r>
      <w:proofErr w:type="spellStart"/>
      <w:r w:rsidRPr="00965D75">
        <w:rPr>
          <w:rFonts w:eastAsia="Calibri" w:cs="Times New Roman"/>
          <w:szCs w:val="22"/>
        </w:rPr>
        <w:t>floorspace</w:t>
      </w:r>
      <w:proofErr w:type="spellEnd"/>
      <w:r w:rsidRPr="00965D75">
        <w:rPr>
          <w:rFonts w:eastAsia="Calibri" w:cs="Times New Roman"/>
          <w:szCs w:val="22"/>
        </w:rPr>
        <w:t xml:space="preserve"> in 2017/18. The permission for a new three-storey office building and laboratory space at the Magdalen Centre is the most significant application granted in terms of quantum with an additional 3,000m</w:t>
      </w:r>
      <w:r w:rsidRPr="00965D75">
        <w:rPr>
          <w:rFonts w:eastAsia="Calibri" w:cs="Times New Roman"/>
          <w:szCs w:val="22"/>
          <w:vertAlign w:val="superscript"/>
        </w:rPr>
        <w:t xml:space="preserve">2 </w:t>
      </w:r>
      <w:r w:rsidRPr="00965D75">
        <w:rPr>
          <w:rFonts w:eastAsia="Calibri" w:cs="Times New Roman"/>
          <w:szCs w:val="22"/>
        </w:rPr>
        <w:t xml:space="preserve">of B1a </w:t>
      </w:r>
      <w:proofErr w:type="spellStart"/>
      <w:r w:rsidRPr="00965D75">
        <w:rPr>
          <w:rFonts w:eastAsia="Calibri" w:cs="Times New Roman"/>
          <w:szCs w:val="22"/>
        </w:rPr>
        <w:t>floorspace</w:t>
      </w:r>
      <w:proofErr w:type="spellEnd"/>
      <w:r w:rsidRPr="00965D75">
        <w:rPr>
          <w:rFonts w:eastAsia="Calibri" w:cs="Times New Roman"/>
          <w:szCs w:val="22"/>
        </w:rPr>
        <w:t xml:space="preserve"> planned (17/03419/FUL). Other significant planned additions to B1 stock include the erection of a new Neuroscience research building on the John Radcliffe Hospital site with 2,566m</w:t>
      </w:r>
      <w:r w:rsidRPr="00965D75">
        <w:rPr>
          <w:rFonts w:eastAsia="Calibri" w:cs="Times New Roman"/>
          <w:szCs w:val="22"/>
          <w:vertAlign w:val="superscript"/>
        </w:rPr>
        <w:t xml:space="preserve">2 </w:t>
      </w:r>
      <w:r w:rsidRPr="00965D75">
        <w:rPr>
          <w:rFonts w:eastAsia="Calibri" w:cs="Times New Roman"/>
          <w:szCs w:val="22"/>
        </w:rPr>
        <w:t xml:space="preserve">of B1b </w:t>
      </w:r>
      <w:proofErr w:type="spellStart"/>
      <w:r w:rsidRPr="00965D75">
        <w:rPr>
          <w:rFonts w:eastAsia="Calibri" w:cs="Times New Roman"/>
          <w:szCs w:val="22"/>
        </w:rPr>
        <w:t>floorspace</w:t>
      </w:r>
      <w:proofErr w:type="spellEnd"/>
      <w:r w:rsidRPr="00965D75">
        <w:rPr>
          <w:rFonts w:eastAsia="Calibri" w:cs="Times New Roman"/>
          <w:szCs w:val="22"/>
        </w:rPr>
        <w:t xml:space="preserve"> planned (17/02010/FUL); and the change of use of a nightclub in Carfax to 1,255m</w:t>
      </w:r>
      <w:r w:rsidRPr="00965D75">
        <w:rPr>
          <w:rFonts w:eastAsia="Calibri" w:cs="Times New Roman"/>
          <w:szCs w:val="22"/>
          <w:vertAlign w:val="superscript"/>
        </w:rPr>
        <w:t>2</w:t>
      </w:r>
      <w:r w:rsidRPr="00965D75">
        <w:rPr>
          <w:rFonts w:eastAsia="Calibri" w:cs="Times New Roman"/>
          <w:szCs w:val="22"/>
        </w:rPr>
        <w:t xml:space="preserve"> of B1 </w:t>
      </w:r>
      <w:proofErr w:type="spellStart"/>
      <w:r w:rsidRPr="00965D75">
        <w:rPr>
          <w:rFonts w:eastAsia="Calibri" w:cs="Times New Roman"/>
          <w:szCs w:val="22"/>
        </w:rPr>
        <w:t>floorspace</w:t>
      </w:r>
      <w:proofErr w:type="spellEnd"/>
      <w:r w:rsidRPr="00965D75">
        <w:rPr>
          <w:rFonts w:eastAsia="Calibri" w:cs="Times New Roman"/>
          <w:szCs w:val="22"/>
        </w:rPr>
        <w:t xml:space="preserve"> (17/02869/FUL), which will contribute significantly to the provision of office space in the city centre. </w:t>
      </w:r>
    </w:p>
    <w:p w:rsidR="00126779" w:rsidRPr="00965D75" w:rsidRDefault="00126779" w:rsidP="00126779">
      <w:pPr>
        <w:numPr>
          <w:ilvl w:val="0"/>
          <w:numId w:val="2"/>
        </w:numPr>
        <w:spacing w:after="200" w:line="276" w:lineRule="auto"/>
        <w:ind w:left="426" w:hanging="426"/>
        <w:jc w:val="both"/>
        <w:rPr>
          <w:rFonts w:eastAsia="Calibri" w:cs="Times New Roman"/>
          <w:szCs w:val="22"/>
        </w:rPr>
      </w:pPr>
      <w:r w:rsidRPr="00965D75">
        <w:rPr>
          <w:rFonts w:eastAsia="Calibri" w:cs="Times New Roman"/>
          <w:szCs w:val="22"/>
        </w:rPr>
        <w:t xml:space="preserve">It is important to note that the figures above are gross rather than net changes in B1 </w:t>
      </w:r>
      <w:proofErr w:type="spellStart"/>
      <w:r w:rsidRPr="00965D75">
        <w:rPr>
          <w:rFonts w:eastAsia="Calibri" w:cs="Times New Roman"/>
          <w:szCs w:val="22"/>
        </w:rPr>
        <w:t>floorspace</w:t>
      </w:r>
      <w:proofErr w:type="spellEnd"/>
      <w:r w:rsidRPr="00965D75">
        <w:rPr>
          <w:rFonts w:eastAsia="Calibri" w:cs="Times New Roman"/>
          <w:szCs w:val="22"/>
        </w:rPr>
        <w:t xml:space="preserve">. Losses in B1 </w:t>
      </w:r>
      <w:proofErr w:type="spellStart"/>
      <w:r w:rsidRPr="00965D75">
        <w:rPr>
          <w:rFonts w:eastAsia="Calibri" w:cs="Times New Roman"/>
          <w:szCs w:val="22"/>
        </w:rPr>
        <w:t>floorspace</w:t>
      </w:r>
      <w:proofErr w:type="spellEnd"/>
      <w:r w:rsidRPr="00965D75">
        <w:rPr>
          <w:rFonts w:eastAsia="Calibri" w:cs="Times New Roman"/>
          <w:szCs w:val="22"/>
        </w:rPr>
        <w:t xml:space="preserve"> have been given permission in the 2017/18 monitoring year where evidence has suggested that B1 Class is no longer the best use for the site. </w:t>
      </w:r>
    </w:p>
    <w:p w:rsidR="00126779" w:rsidRPr="00965D75" w:rsidRDefault="00126779" w:rsidP="00126779">
      <w:pPr>
        <w:numPr>
          <w:ilvl w:val="0"/>
          <w:numId w:val="2"/>
        </w:numPr>
        <w:spacing w:after="200" w:line="276" w:lineRule="auto"/>
        <w:ind w:left="426" w:hanging="426"/>
        <w:jc w:val="both"/>
        <w:rPr>
          <w:rFonts w:eastAsia="Calibri" w:cs="Times New Roman"/>
          <w:szCs w:val="22"/>
        </w:rPr>
      </w:pPr>
      <w:r w:rsidRPr="00965D75">
        <w:rPr>
          <w:rFonts w:eastAsia="Calibri" w:cs="Times New Roman"/>
          <w:szCs w:val="22"/>
        </w:rPr>
        <w:t xml:space="preserve">There is no specific target in the Local Plan for new B1 </w:t>
      </w:r>
      <w:proofErr w:type="spellStart"/>
      <w:proofErr w:type="gramStart"/>
      <w:r w:rsidRPr="00965D75">
        <w:rPr>
          <w:rFonts w:eastAsia="Calibri" w:cs="Times New Roman"/>
          <w:szCs w:val="22"/>
        </w:rPr>
        <w:t>floorspace</w:t>
      </w:r>
      <w:proofErr w:type="spellEnd"/>
      <w:r w:rsidRPr="00965D75">
        <w:rPr>
          <w:rFonts w:eastAsia="Calibri" w:cs="Times New Roman"/>
          <w:szCs w:val="22"/>
        </w:rPr>
        <w:t>,</w:t>
      </w:r>
      <w:proofErr w:type="gramEnd"/>
      <w:r w:rsidRPr="00965D75">
        <w:rPr>
          <w:rFonts w:eastAsia="Calibri" w:cs="Times New Roman"/>
          <w:szCs w:val="22"/>
        </w:rPr>
        <w:t xml:space="preserve"> however the Corporate Plan 2016-2020 sets a target of permitting 15,000m</w:t>
      </w:r>
      <w:r w:rsidRPr="00965D75">
        <w:rPr>
          <w:rFonts w:eastAsia="Calibri" w:cs="Times New Roman"/>
          <w:szCs w:val="22"/>
          <w:vertAlign w:val="superscript"/>
        </w:rPr>
        <w:t>2</w:t>
      </w:r>
      <w:r w:rsidRPr="00965D75">
        <w:rPr>
          <w:rFonts w:eastAsia="Calibri" w:cs="Times New Roman"/>
          <w:szCs w:val="22"/>
        </w:rPr>
        <w:t xml:space="preserve"> of employment </w:t>
      </w:r>
      <w:proofErr w:type="spellStart"/>
      <w:r w:rsidRPr="00965D75">
        <w:rPr>
          <w:rFonts w:eastAsia="Calibri" w:cs="Times New Roman"/>
          <w:szCs w:val="22"/>
        </w:rPr>
        <w:t>floorspace</w:t>
      </w:r>
      <w:proofErr w:type="spellEnd"/>
      <w:r w:rsidRPr="00965D75">
        <w:rPr>
          <w:rFonts w:eastAsia="Calibri" w:cs="Times New Roman"/>
          <w:szCs w:val="22"/>
        </w:rPr>
        <w:t xml:space="preserve"> each year from 2016/17 onwards. In this context, permissions for new employment </w:t>
      </w:r>
      <w:proofErr w:type="spellStart"/>
      <w:r w:rsidRPr="00965D75">
        <w:rPr>
          <w:rFonts w:eastAsia="Calibri" w:cs="Times New Roman"/>
          <w:szCs w:val="22"/>
        </w:rPr>
        <w:t>floorspace</w:t>
      </w:r>
      <w:proofErr w:type="spellEnd"/>
      <w:r w:rsidRPr="00965D75">
        <w:rPr>
          <w:rFonts w:eastAsia="Calibri" w:cs="Times New Roman"/>
          <w:szCs w:val="22"/>
        </w:rPr>
        <w:t xml:space="preserve"> granted in 2017/18 have not met </w:t>
      </w:r>
      <w:proofErr w:type="gramStart"/>
      <w:r w:rsidRPr="00965D75">
        <w:rPr>
          <w:rFonts w:eastAsia="Calibri" w:cs="Times New Roman"/>
          <w:szCs w:val="22"/>
        </w:rPr>
        <w:t>expectations,</w:t>
      </w:r>
      <w:proofErr w:type="gramEnd"/>
      <w:r w:rsidRPr="00965D75">
        <w:rPr>
          <w:rFonts w:eastAsia="Calibri" w:cs="Times New Roman"/>
          <w:szCs w:val="22"/>
        </w:rPr>
        <w:t xml:space="preserve"> however </w:t>
      </w:r>
      <w:proofErr w:type="spellStart"/>
      <w:r w:rsidRPr="00965D75">
        <w:rPr>
          <w:rFonts w:eastAsia="Calibri" w:cs="Times New Roman"/>
          <w:szCs w:val="22"/>
        </w:rPr>
        <w:t>quantums</w:t>
      </w:r>
      <w:proofErr w:type="spellEnd"/>
      <w:r w:rsidRPr="00965D75">
        <w:rPr>
          <w:rFonts w:eastAsia="Calibri" w:cs="Times New Roman"/>
          <w:szCs w:val="22"/>
        </w:rPr>
        <w:t xml:space="preserve"> will vary year-by-year and an average over a longer time period would be more meaningful. In this context, the average over the last </w:t>
      </w:r>
      <w:r w:rsidRPr="00965D75">
        <w:rPr>
          <w:rFonts w:eastAsia="Calibri" w:cs="Times New Roman"/>
          <w:szCs w:val="22"/>
        </w:rPr>
        <w:lastRenderedPageBreak/>
        <w:t>two monitoring years is just over 15,000m</w:t>
      </w:r>
      <w:r w:rsidRPr="00965D75">
        <w:rPr>
          <w:rFonts w:eastAsia="Calibri" w:cs="Times New Roman"/>
          <w:szCs w:val="22"/>
          <w:vertAlign w:val="superscript"/>
        </w:rPr>
        <w:t xml:space="preserve">2 </w:t>
      </w:r>
      <w:r w:rsidRPr="00965D75">
        <w:rPr>
          <w:rFonts w:eastAsia="Calibri" w:cs="Times New Roman"/>
          <w:szCs w:val="22"/>
        </w:rPr>
        <w:t xml:space="preserve">per annum. This will continue to be monitored regularly.  </w:t>
      </w:r>
    </w:p>
    <w:bookmarkStart w:id="8" w:name="_Toc529178338"/>
    <w:p w:rsidR="00126779" w:rsidRPr="007E2BF2" w:rsidRDefault="00126779" w:rsidP="00126779">
      <w:pPr>
        <w:outlineLvl w:val="1"/>
        <w:rPr>
          <w:rFonts w:asciiTheme="minorHAnsi" w:hAnsiTheme="minorHAnsi"/>
          <w:b/>
          <w:sz w:val="24"/>
          <w:lang w:eastAsia="en-GB"/>
        </w:rPr>
      </w:pPr>
      <w:r w:rsidRPr="007E2BF2">
        <w:rPr>
          <w:rFonts w:asciiTheme="minorHAnsi" w:hAnsiTheme="minorHAnsi"/>
          <w:b/>
          <w:noProof/>
          <w:sz w:val="8"/>
          <w:szCs w:val="22"/>
          <w:lang w:eastAsia="en-GB"/>
        </w:rPr>
        <mc:AlternateContent>
          <mc:Choice Requires="wps">
            <w:drawing>
              <wp:anchor distT="0" distB="0" distL="114300" distR="114300" simplePos="0" relativeHeight="251663360" behindDoc="1" locked="0" layoutInCell="1" allowOverlap="1" wp14:anchorId="53CFEE29" wp14:editId="6AF07076">
                <wp:simplePos x="0" y="0"/>
                <wp:positionH relativeFrom="column">
                  <wp:posOffset>-66675</wp:posOffset>
                </wp:positionH>
                <wp:positionV relativeFrom="paragraph">
                  <wp:posOffset>-17145</wp:posOffset>
                </wp:positionV>
                <wp:extent cx="5866130" cy="2000250"/>
                <wp:effectExtent l="0" t="0" r="1270" b="0"/>
                <wp:wrapNone/>
                <wp:docPr id="130" name="Rectangle 130"/>
                <wp:cNvGraphicFramePr/>
                <a:graphic xmlns:a="http://schemas.openxmlformats.org/drawingml/2006/main">
                  <a:graphicData uri="http://schemas.microsoft.com/office/word/2010/wordprocessingShape">
                    <wps:wsp>
                      <wps:cNvSpPr/>
                      <wps:spPr>
                        <a:xfrm>
                          <a:off x="0" y="0"/>
                          <a:ext cx="5866130" cy="2000250"/>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2FEB2C" id="Rectangle 130" o:spid="_x0000_s1026" style="position:absolute;margin-left:-5.25pt;margin-top:-1.35pt;width:461.9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" fillcolor="#dbeef4" stroked="f" strokeweight="2pt"/>
            </w:pict>
          </mc:Fallback>
        </mc:AlternateContent>
      </w:r>
      <w:r w:rsidRPr="007E2BF2">
        <w:rPr>
          <w:rFonts w:asciiTheme="minorHAnsi" w:hAnsiTheme="minorHAnsi"/>
          <w:b/>
          <w:sz w:val="24"/>
          <w:lang w:eastAsia="en-GB"/>
        </w:rPr>
        <w:t>Indicator 3: PLANNING PERMISSIONS GRANTED FOR KEY EMPLOYMENT USES (hospital healthcare, medical research and university academic teaching and study)</w:t>
      </w:r>
      <w:bookmarkEnd w:id="8"/>
    </w:p>
    <w:p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rsidR="00126779" w:rsidRPr="007E2BF2" w:rsidRDefault="00126779" w:rsidP="00126779">
      <w:pPr>
        <w:autoSpaceDE w:val="0"/>
        <w:autoSpaceDN w:val="0"/>
        <w:adjustRightInd w:val="0"/>
        <w:ind w:left="709" w:hanging="709"/>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Majority (more than 50%) of new hospital healthcare and medical research development to focus on Headington and Marston. 100% of new academic (teaching and study) development to focus on existing sites under the control of the universities. </w:t>
      </w:r>
    </w:p>
    <w:p w:rsidR="00126779" w:rsidRPr="007E2BF2" w:rsidRDefault="00126779" w:rsidP="00126779">
      <w:pPr>
        <w:autoSpaceDE w:val="0"/>
        <w:autoSpaceDN w:val="0"/>
        <w:adjustRightInd w:val="0"/>
        <w:ind w:left="709"/>
        <w:jc w:val="both"/>
        <w:rPr>
          <w:rFonts w:eastAsia="Calibri" w:cs="Calibri"/>
          <w:b/>
          <w:color w:val="244061" w:themeColor="accent1" w:themeShade="80"/>
          <w:szCs w:val="22"/>
        </w:rPr>
      </w:pPr>
      <w:r w:rsidRPr="007E2BF2">
        <w:rPr>
          <w:rFonts w:eastAsia="Calibri" w:cs="Calibri"/>
          <w:color w:val="244061" w:themeColor="accent1" w:themeShade="80"/>
          <w:sz w:val="20"/>
          <w:szCs w:val="22"/>
        </w:rPr>
        <w:t>(Oxford Core Strategy Policies CS25, CS29 &amp; CS30)</w:t>
      </w:r>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rsidTr="00126779">
        <w:trPr>
          <w:trHeight w:val="218"/>
        </w:trPr>
        <w:tc>
          <w:tcPr>
            <w:tcW w:w="5420" w:type="dxa"/>
          </w:tcPr>
          <w:p w:rsidR="00126779" w:rsidRPr="007E2BF2" w:rsidRDefault="00126779" w:rsidP="00126779">
            <w:pPr>
              <w:autoSpaceDE w:val="0"/>
              <w:autoSpaceDN w:val="0"/>
              <w:adjustRightInd w:val="0"/>
              <w:ind w:left="-108"/>
              <w:rPr>
                <w:rFonts w:ascii="Arial" w:hAnsi="Arial"/>
                <w:b/>
                <w:noProof/>
                <w:sz w:val="20"/>
                <w:szCs w:val="16"/>
                <w:lang w:eastAsia="en-GB"/>
              </w:rPr>
            </w:pPr>
            <w:r>
              <w:rPr>
                <w:rFonts w:ascii="Arial" w:eastAsia="Calibri" w:hAnsi="Arial" w:cs="Calibri"/>
                <w:b/>
                <w:color w:val="244061" w:themeColor="accent1" w:themeShade="80"/>
                <w:sz w:val="20"/>
                <w:szCs w:val="22"/>
              </w:rPr>
              <w:t>Performance against target 2017/18</w:t>
            </w:r>
            <w:r w:rsidRPr="007E2BF2">
              <w:rPr>
                <w:rFonts w:ascii="Arial" w:eastAsia="Calibri" w:hAnsi="Arial" w:cs="Calibri"/>
                <w:b/>
                <w:color w:val="244061" w:themeColor="accent1" w:themeShade="80"/>
                <w:sz w:val="20"/>
                <w:szCs w:val="22"/>
              </w:rPr>
              <w:t>:</w:t>
            </w:r>
          </w:p>
        </w:tc>
        <w:tc>
          <w:tcPr>
            <w:tcW w:w="3714" w:type="dxa"/>
            <w:gridSpan w:val="2"/>
          </w:tcPr>
          <w:p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26779" w:rsidRPr="00975F38" w:rsidRDefault="00126779" w:rsidP="00126779">
            <w:pPr>
              <w:autoSpaceDE w:val="0"/>
              <w:autoSpaceDN w:val="0"/>
              <w:adjustRightInd w:val="0"/>
              <w:rPr>
                <w:rFonts w:ascii="Arial" w:eastAsia="Calibri" w:hAnsi="Arial" w:cs="Calibri"/>
                <w:b/>
                <w:color w:val="244061" w:themeColor="accent1" w:themeShade="80"/>
                <w:sz w:val="4"/>
                <w:szCs w:val="4"/>
              </w:rPr>
            </w:pPr>
          </w:p>
        </w:tc>
      </w:tr>
      <w:tr w:rsidR="00126779" w:rsidRPr="007E2BF2" w:rsidTr="00126779">
        <w:tc>
          <w:tcPr>
            <w:tcW w:w="5420" w:type="dxa"/>
            <w:vMerge w:val="restart"/>
          </w:tcPr>
          <w:p w:rsidR="00126779" w:rsidRPr="00975F38" w:rsidRDefault="00126779" w:rsidP="00126779">
            <w:pPr>
              <w:autoSpaceDE w:val="0"/>
              <w:autoSpaceDN w:val="0"/>
              <w:adjustRightInd w:val="0"/>
              <w:jc w:val="center"/>
              <w:rPr>
                <w:rFonts w:ascii="Arial" w:eastAsia="Calibri" w:hAnsi="Arial" w:cs="Calibri"/>
                <w:b/>
                <w:color w:val="244061" w:themeColor="accent1" w:themeShade="80"/>
                <w:sz w:val="10"/>
                <w:szCs w:val="10"/>
              </w:rPr>
            </w:pP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sz w:val="32"/>
                <w:szCs w:val="32"/>
                <w:lang w:eastAsia="en-GB"/>
              </w:rPr>
              <w:drawing>
                <wp:inline distT="0" distB="0" distL="0" distR="0" wp14:anchorId="25174958" wp14:editId="09656CCB">
                  <wp:extent cx="1489193" cy="465732"/>
                  <wp:effectExtent l="0" t="0" r="0" b="0"/>
                  <wp:docPr id="4" name="Picture 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873" cy="469385"/>
                          </a:xfrm>
                          <a:prstGeom prst="rect">
                            <a:avLst/>
                          </a:prstGeom>
                          <a:noFill/>
                          <a:ln>
                            <a:noFill/>
                          </a:ln>
                        </pic:spPr>
                      </pic:pic>
                    </a:graphicData>
                  </a:graphic>
                </wp:inline>
              </w:drawing>
            </w: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eastAsia="Calibri" w:hAnsi="Arial" w:cs="Calibri"/>
                <w:b/>
                <w:color w:val="244061" w:themeColor="accent1" w:themeShade="80"/>
                <w:sz w:val="24"/>
                <w:szCs w:val="22"/>
              </w:rPr>
              <w:t xml:space="preserve"> </w:t>
            </w:r>
            <w:r w:rsidRPr="007E2BF2">
              <w:rPr>
                <w:rFonts w:ascii="Arial" w:hAnsi="Arial"/>
                <w:b/>
                <w:noProof/>
                <w:sz w:val="32"/>
                <w:szCs w:val="32"/>
                <w:lang w:eastAsia="en-GB"/>
              </w:rPr>
              <w:drawing>
                <wp:inline distT="0" distB="0" distL="0" distR="0" wp14:anchorId="130B6797" wp14:editId="3791B60A">
                  <wp:extent cx="819509" cy="255580"/>
                  <wp:effectExtent l="0" t="0" r="0" b="0"/>
                  <wp:docPr id="7" name="Picture 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126779" w:rsidRPr="00975F38" w:rsidRDefault="00126779" w:rsidP="00126779">
            <w:pPr>
              <w:autoSpaceDE w:val="0"/>
              <w:autoSpaceDN w:val="0"/>
              <w:adjustRightInd w:val="0"/>
              <w:jc w:val="center"/>
              <w:rPr>
                <w:rFonts w:ascii="Arial" w:eastAsia="Calibri" w:hAnsi="Arial" w:cs="Calibri"/>
                <w:b/>
                <w:color w:val="244061" w:themeColor="accent1" w:themeShade="80"/>
                <w:sz w:val="10"/>
                <w:szCs w:val="10"/>
              </w:rPr>
            </w:pPr>
          </w:p>
        </w:tc>
      </w:tr>
      <w:tr w:rsidR="00126779" w:rsidRPr="007E2BF2" w:rsidTr="00126779">
        <w:tc>
          <w:tcPr>
            <w:tcW w:w="5420" w:type="dxa"/>
            <w:vMerge/>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2015/16</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t xml:space="preserve"> </w:t>
            </w:r>
            <w:r w:rsidRPr="007E2BF2">
              <w:rPr>
                <w:rFonts w:ascii="Arial" w:hAnsi="Arial"/>
                <w:b/>
                <w:noProof/>
                <w:sz w:val="32"/>
                <w:szCs w:val="32"/>
                <w:lang w:eastAsia="en-GB"/>
              </w:rPr>
              <w:drawing>
                <wp:inline distT="0" distB="0" distL="0" distR="0" wp14:anchorId="6C018196" wp14:editId="10D53D2C">
                  <wp:extent cx="819150" cy="256182"/>
                  <wp:effectExtent l="0" t="0" r="0" b="0"/>
                  <wp:docPr id="8" name="Picture 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7E2BF2" w:rsidRDefault="00126779" w:rsidP="00126779">
      <w:pPr>
        <w:rPr>
          <w:rFonts w:cs="Calibri"/>
          <w:sz w:val="20"/>
          <w:szCs w:val="18"/>
        </w:rPr>
      </w:pPr>
    </w:p>
    <w:p w:rsidR="00126779" w:rsidRPr="006165DA" w:rsidRDefault="00126779" w:rsidP="00126779">
      <w:pPr>
        <w:numPr>
          <w:ilvl w:val="0"/>
          <w:numId w:val="2"/>
        </w:numPr>
        <w:spacing w:after="240" w:line="276" w:lineRule="auto"/>
        <w:ind w:left="567" w:hanging="567"/>
        <w:jc w:val="both"/>
        <w:rPr>
          <w:rFonts w:eastAsia="Calibri" w:cs="Times New Roman"/>
          <w:szCs w:val="22"/>
        </w:rPr>
      </w:pPr>
      <w:r w:rsidRPr="006165DA">
        <w:rPr>
          <w:rFonts w:eastAsia="Calibri" w:cs="Times New Roman"/>
          <w:szCs w:val="22"/>
        </w:rPr>
        <w:t xml:space="preserve">Oxford is home to world-class hospital healthcare and medical research facilities. The hospital trusts based in Oxford and University medical schools also provide significant employment opportunities within the city. </w:t>
      </w:r>
    </w:p>
    <w:p w:rsidR="00126779" w:rsidRPr="00B75525" w:rsidRDefault="00126779" w:rsidP="00126779">
      <w:pPr>
        <w:numPr>
          <w:ilvl w:val="0"/>
          <w:numId w:val="2"/>
        </w:numPr>
        <w:spacing w:after="240" w:line="276" w:lineRule="auto"/>
        <w:ind w:left="567" w:hanging="567"/>
        <w:jc w:val="both"/>
        <w:rPr>
          <w:rFonts w:eastAsia="Calibri" w:cs="Times New Roman"/>
          <w:szCs w:val="22"/>
        </w:rPr>
      </w:pPr>
      <w:r w:rsidRPr="00B75525">
        <w:rPr>
          <w:rFonts w:eastAsia="Calibri" w:cs="Calibri"/>
          <w:szCs w:val="22"/>
        </w:rPr>
        <w:t>Table 3 shows that planning permission was granted for 1,393m</w:t>
      </w:r>
      <w:r w:rsidRPr="00B75525">
        <w:rPr>
          <w:rFonts w:eastAsia="Calibri" w:cs="Calibri"/>
          <w:szCs w:val="22"/>
          <w:vertAlign w:val="superscript"/>
        </w:rPr>
        <w:t>2</w:t>
      </w:r>
      <w:r w:rsidRPr="00B75525">
        <w:rPr>
          <w:rFonts w:eastAsia="Calibri" w:cs="Calibri"/>
          <w:szCs w:val="22"/>
        </w:rPr>
        <w:t xml:space="preserve"> of new hospital healthcare and medical research </w:t>
      </w:r>
      <w:proofErr w:type="spellStart"/>
      <w:r w:rsidRPr="00B75525">
        <w:rPr>
          <w:rFonts w:eastAsia="Calibri" w:cs="Calibri"/>
          <w:szCs w:val="22"/>
        </w:rPr>
        <w:t>floorspace</w:t>
      </w:r>
      <w:proofErr w:type="spellEnd"/>
      <w:r w:rsidRPr="00B75525">
        <w:rPr>
          <w:rFonts w:eastAsia="Calibri" w:cs="Calibri"/>
          <w:szCs w:val="22"/>
        </w:rPr>
        <w:t xml:space="preserve"> in 2017/18. A significantly larger 60,228m</w:t>
      </w:r>
      <w:r w:rsidRPr="00B75525">
        <w:rPr>
          <w:rFonts w:eastAsia="Calibri" w:cs="Calibri"/>
          <w:szCs w:val="22"/>
          <w:vertAlign w:val="superscript"/>
        </w:rPr>
        <w:t>2</w:t>
      </w:r>
      <w:r w:rsidRPr="00B75525">
        <w:rPr>
          <w:rFonts w:eastAsia="Calibri" w:cs="Calibri"/>
          <w:szCs w:val="22"/>
        </w:rPr>
        <w:t xml:space="preserve"> was delivered in the preceding monitoring year. These permissions demonstrate the on-going investment in medical research and hospital healthcare facilities in the city. </w:t>
      </w:r>
    </w:p>
    <w:p w:rsidR="00126779" w:rsidRPr="00D92218" w:rsidRDefault="00126779" w:rsidP="00126779">
      <w:pPr>
        <w:numPr>
          <w:ilvl w:val="0"/>
          <w:numId w:val="2"/>
        </w:numPr>
        <w:spacing w:after="240" w:line="276" w:lineRule="auto"/>
        <w:ind w:left="567" w:hanging="567"/>
        <w:jc w:val="both"/>
        <w:rPr>
          <w:rFonts w:eastAsia="Calibri" w:cs="Times New Roman"/>
          <w:szCs w:val="22"/>
        </w:rPr>
      </w:pPr>
      <w:r w:rsidRPr="00D92218">
        <w:rPr>
          <w:rFonts w:eastAsia="Calibri" w:cs="Calibri"/>
          <w:szCs w:val="22"/>
        </w:rPr>
        <w:t xml:space="preserve">There were only two permissions regarding any changes in hospital healthcare and medical research. The more significant development permitted in healthcare </w:t>
      </w:r>
      <w:proofErr w:type="spellStart"/>
      <w:r w:rsidRPr="00D92218">
        <w:rPr>
          <w:rFonts w:eastAsia="Calibri" w:cs="Calibri"/>
          <w:szCs w:val="22"/>
        </w:rPr>
        <w:t>floorspace</w:t>
      </w:r>
      <w:proofErr w:type="spellEnd"/>
      <w:r w:rsidRPr="00D92218">
        <w:rPr>
          <w:rFonts w:eastAsia="Calibri" w:cs="Calibri"/>
          <w:szCs w:val="22"/>
        </w:rPr>
        <w:t xml:space="preserve"> was on the Churchill Hospital site. This accounted for 98% of total development permitted for this type of land use. The other permission on the John Radcliffe Hospital site was for a minor development for a single storey extension to the Centre for Occupational Health and Wellbeing which will result in an increase of 33m</w:t>
      </w:r>
      <w:r w:rsidRPr="00D92218">
        <w:rPr>
          <w:rFonts w:eastAsia="Calibri" w:cs="Calibri"/>
          <w:szCs w:val="22"/>
          <w:vertAlign w:val="superscript"/>
        </w:rPr>
        <w:t xml:space="preserve">2 </w:t>
      </w:r>
      <w:r w:rsidRPr="00D92218">
        <w:rPr>
          <w:rFonts w:eastAsia="Calibri" w:cs="Calibri"/>
          <w:szCs w:val="22"/>
        </w:rPr>
        <w:t xml:space="preserve">of D1 </w:t>
      </w:r>
      <w:proofErr w:type="spellStart"/>
      <w:r w:rsidRPr="00D92218">
        <w:rPr>
          <w:rFonts w:eastAsia="Calibri" w:cs="Calibri"/>
          <w:szCs w:val="22"/>
        </w:rPr>
        <w:t>floorspace</w:t>
      </w:r>
      <w:proofErr w:type="spellEnd"/>
      <w:r w:rsidRPr="00D92218">
        <w:rPr>
          <w:rFonts w:eastAsia="Calibri" w:cs="Calibri"/>
          <w:szCs w:val="22"/>
        </w:rPr>
        <w:t xml:space="preserve">. </w:t>
      </w:r>
      <w:r>
        <w:rPr>
          <w:rFonts w:eastAsia="Calibri" w:cs="Calibri"/>
          <w:szCs w:val="22"/>
        </w:rPr>
        <w:t xml:space="preserve">Permissions granted in this instance were in accordance with the Core Strategy targets. </w:t>
      </w: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496"/>
        <w:gridCol w:w="2438"/>
        <w:gridCol w:w="954"/>
        <w:gridCol w:w="1992"/>
        <w:gridCol w:w="2362"/>
      </w:tblGrid>
      <w:tr w:rsidR="00126779" w:rsidRPr="00EC60C1" w:rsidTr="00126779">
        <w:tc>
          <w:tcPr>
            <w:tcW w:w="1496" w:type="dxa"/>
            <w:shd w:val="clear" w:color="auto" w:fill="DBE5F1" w:themeFill="accent1" w:themeFillTint="33"/>
          </w:tcPr>
          <w:p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20"/>
              </w:rPr>
              <w:t>Application Reference</w:t>
            </w:r>
          </w:p>
        </w:tc>
        <w:tc>
          <w:tcPr>
            <w:tcW w:w="3392" w:type="dxa"/>
            <w:gridSpan w:val="2"/>
            <w:shd w:val="clear" w:color="auto" w:fill="DBE5F1" w:themeFill="accent1" w:themeFillTint="33"/>
          </w:tcPr>
          <w:p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20"/>
              </w:rPr>
              <w:t>Description of Development</w:t>
            </w:r>
          </w:p>
        </w:tc>
        <w:tc>
          <w:tcPr>
            <w:tcW w:w="1992" w:type="dxa"/>
            <w:shd w:val="clear" w:color="auto" w:fill="DBE5F1" w:themeFill="accent1" w:themeFillTint="33"/>
          </w:tcPr>
          <w:p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18"/>
              </w:rPr>
              <w:t xml:space="preserve">Net additional </w:t>
            </w:r>
            <w:proofErr w:type="spellStart"/>
            <w:r w:rsidRPr="006165DA">
              <w:rPr>
                <w:rFonts w:asciiTheme="minorHAnsi" w:hAnsiTheme="minorHAnsi" w:cstheme="minorHAnsi"/>
                <w:b/>
                <w:sz w:val="18"/>
              </w:rPr>
              <w:t>floorspace</w:t>
            </w:r>
            <w:proofErr w:type="spellEnd"/>
            <w:r w:rsidRPr="006165DA">
              <w:rPr>
                <w:rFonts w:asciiTheme="minorHAnsi" w:hAnsiTheme="minorHAnsi" w:cstheme="minorHAnsi"/>
                <w:b/>
                <w:sz w:val="18"/>
              </w:rPr>
              <w:t xml:space="preserve"> (GIA)</w:t>
            </w:r>
          </w:p>
        </w:tc>
        <w:tc>
          <w:tcPr>
            <w:tcW w:w="2362" w:type="dxa"/>
            <w:shd w:val="clear" w:color="auto" w:fill="DBE5F1" w:themeFill="accent1" w:themeFillTint="33"/>
          </w:tcPr>
          <w:p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20"/>
              </w:rPr>
              <w:t>Located on existing sites in Headington and Marston?</w:t>
            </w:r>
          </w:p>
        </w:tc>
      </w:tr>
      <w:tr w:rsidR="00126779" w:rsidRPr="00DE28F5"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96" w:type="dxa"/>
            <w:noWrap/>
            <w:hideMark/>
          </w:tcPr>
          <w:p w:rsidR="00126779" w:rsidRPr="006165DA" w:rsidRDefault="00126779" w:rsidP="00126779">
            <w:pPr>
              <w:rPr>
                <w:rFonts w:asciiTheme="minorHAnsi" w:eastAsia="Times New Roman" w:hAnsiTheme="minorHAnsi" w:cstheme="minorHAnsi"/>
                <w:sz w:val="20"/>
                <w:szCs w:val="20"/>
                <w:lang w:eastAsia="en-GB"/>
              </w:rPr>
            </w:pPr>
            <w:r w:rsidRPr="006165DA">
              <w:rPr>
                <w:rFonts w:asciiTheme="minorHAnsi" w:eastAsia="Times New Roman" w:hAnsiTheme="minorHAnsi" w:cstheme="minorHAnsi"/>
                <w:sz w:val="20"/>
                <w:szCs w:val="20"/>
                <w:lang w:eastAsia="en-GB"/>
              </w:rPr>
              <w:t>17/00770/FUL</w:t>
            </w:r>
          </w:p>
        </w:tc>
        <w:tc>
          <w:tcPr>
            <w:tcW w:w="3392" w:type="dxa"/>
            <w:gridSpan w:val="2"/>
            <w:noWrap/>
            <w:hideMark/>
          </w:tcPr>
          <w:p w:rsidR="00126779" w:rsidRPr="006165DA" w:rsidRDefault="00126779" w:rsidP="00126779">
            <w:pPr>
              <w:rPr>
                <w:rFonts w:asciiTheme="minorHAnsi" w:eastAsia="Times New Roman" w:hAnsiTheme="minorHAnsi" w:cstheme="minorHAnsi"/>
                <w:sz w:val="20"/>
                <w:szCs w:val="20"/>
                <w:lang w:eastAsia="en-GB"/>
              </w:rPr>
            </w:pPr>
            <w:r w:rsidRPr="006165DA">
              <w:rPr>
                <w:rFonts w:asciiTheme="minorHAnsi" w:eastAsia="Times New Roman" w:hAnsiTheme="minorHAnsi" w:cstheme="minorHAnsi"/>
                <w:sz w:val="20"/>
                <w:szCs w:val="20"/>
                <w:lang w:eastAsia="en-GB"/>
              </w:rPr>
              <w:t xml:space="preserve">Erection of a two-storey annexe (with plant room at third-floor level) to create 6 new palliative care bedrooms, a new </w:t>
            </w:r>
            <w:proofErr w:type="spellStart"/>
            <w:r w:rsidRPr="006165DA">
              <w:rPr>
                <w:rFonts w:asciiTheme="minorHAnsi" w:eastAsia="Times New Roman" w:hAnsiTheme="minorHAnsi" w:cstheme="minorHAnsi"/>
                <w:sz w:val="20"/>
                <w:szCs w:val="20"/>
                <w:lang w:eastAsia="en-GB"/>
              </w:rPr>
              <w:t>lymphoedema</w:t>
            </w:r>
            <w:proofErr w:type="spellEnd"/>
            <w:r w:rsidRPr="006165DA">
              <w:rPr>
                <w:rFonts w:asciiTheme="minorHAnsi" w:eastAsia="Times New Roman" w:hAnsiTheme="minorHAnsi" w:cstheme="minorHAnsi"/>
                <w:sz w:val="20"/>
                <w:szCs w:val="20"/>
                <w:lang w:eastAsia="en-GB"/>
              </w:rPr>
              <w:t xml:space="preserve"> clinic, administration office space and staff welfare facilities.</w:t>
            </w:r>
          </w:p>
        </w:tc>
        <w:tc>
          <w:tcPr>
            <w:tcW w:w="1992" w:type="dxa"/>
            <w:noWrap/>
          </w:tcPr>
          <w:p w:rsidR="00126779" w:rsidRPr="006165DA" w:rsidRDefault="00126779" w:rsidP="00126779">
            <w:pPr>
              <w:jc w:val="right"/>
              <w:rPr>
                <w:rFonts w:asciiTheme="minorHAnsi" w:eastAsia="Times New Roman" w:hAnsiTheme="minorHAnsi" w:cstheme="minorHAnsi"/>
                <w:sz w:val="20"/>
                <w:szCs w:val="20"/>
                <w:vertAlign w:val="superscript"/>
                <w:lang w:eastAsia="en-GB"/>
              </w:rPr>
            </w:pPr>
            <w:r w:rsidRPr="006165DA">
              <w:rPr>
                <w:rFonts w:asciiTheme="minorHAnsi" w:eastAsia="Times New Roman" w:hAnsiTheme="minorHAnsi" w:cstheme="minorHAnsi"/>
                <w:sz w:val="20"/>
                <w:szCs w:val="20"/>
                <w:lang w:eastAsia="en-GB"/>
              </w:rPr>
              <w:t>1</w:t>
            </w:r>
            <w:r w:rsidR="0070297F">
              <w:rPr>
                <w:rFonts w:asciiTheme="minorHAnsi" w:eastAsia="Times New Roman" w:hAnsiTheme="minorHAnsi" w:cstheme="minorHAnsi"/>
                <w:sz w:val="20"/>
                <w:szCs w:val="20"/>
                <w:lang w:eastAsia="en-GB"/>
              </w:rPr>
              <w:t>,</w:t>
            </w:r>
            <w:r w:rsidRPr="006165DA">
              <w:rPr>
                <w:rFonts w:asciiTheme="minorHAnsi" w:eastAsia="Times New Roman" w:hAnsiTheme="minorHAnsi" w:cstheme="minorHAnsi"/>
                <w:sz w:val="20"/>
                <w:szCs w:val="20"/>
                <w:lang w:eastAsia="en-GB"/>
              </w:rPr>
              <w:t>360m</w:t>
            </w:r>
            <w:r w:rsidRPr="006165DA">
              <w:rPr>
                <w:rFonts w:asciiTheme="minorHAnsi" w:eastAsia="Times New Roman" w:hAnsiTheme="minorHAnsi" w:cstheme="minorHAnsi"/>
                <w:sz w:val="20"/>
                <w:szCs w:val="20"/>
                <w:vertAlign w:val="superscript"/>
                <w:lang w:eastAsia="en-GB"/>
              </w:rPr>
              <w:t>2</w:t>
            </w:r>
          </w:p>
        </w:tc>
        <w:tc>
          <w:tcPr>
            <w:tcW w:w="2362" w:type="dxa"/>
            <w:noWrap/>
            <w:vAlign w:val="center"/>
          </w:tcPr>
          <w:p w:rsidR="00126779" w:rsidRPr="006165DA" w:rsidRDefault="00126779" w:rsidP="00126779">
            <w:pPr>
              <w:rPr>
                <w:rFonts w:cs="Calibri"/>
                <w:b/>
                <w:sz w:val="20"/>
                <w:szCs w:val="22"/>
              </w:rPr>
            </w:pPr>
            <w:r w:rsidRPr="006165DA">
              <w:rPr>
                <w:rFonts w:cs="Calibri"/>
                <w:b/>
                <w:sz w:val="20"/>
                <w:szCs w:val="22"/>
              </w:rPr>
              <w:t>Located on existing site</w:t>
            </w:r>
          </w:p>
          <w:p w:rsidR="00126779" w:rsidRPr="006165DA" w:rsidRDefault="00126779" w:rsidP="00126779">
            <w:pPr>
              <w:rPr>
                <w:rFonts w:cs="Calibri"/>
                <w:b/>
                <w:sz w:val="20"/>
                <w:szCs w:val="22"/>
              </w:rPr>
            </w:pPr>
            <w:r w:rsidRPr="006165DA">
              <w:rPr>
                <w:rFonts w:cs="Calibri"/>
                <w:b/>
                <w:sz w:val="20"/>
                <w:szCs w:val="22"/>
              </w:rPr>
              <w:t>(Churchill Hospital Site)</w:t>
            </w:r>
          </w:p>
          <w:p w:rsidR="00126779" w:rsidRPr="006165DA" w:rsidRDefault="00126779" w:rsidP="00126779">
            <w:pPr>
              <w:rPr>
                <w:rFonts w:cs="Calibri"/>
                <w:sz w:val="20"/>
                <w:szCs w:val="22"/>
              </w:rPr>
            </w:pPr>
            <w:r w:rsidRPr="006165DA">
              <w:rPr>
                <w:rFonts w:cs="Calibri"/>
                <w:sz w:val="20"/>
                <w:szCs w:val="22"/>
              </w:rPr>
              <w:t xml:space="preserve">Sir Michael </w:t>
            </w:r>
            <w:proofErr w:type="spellStart"/>
            <w:r w:rsidRPr="006165DA">
              <w:rPr>
                <w:rFonts w:cs="Calibri"/>
                <w:sz w:val="20"/>
                <w:szCs w:val="22"/>
              </w:rPr>
              <w:t>Sobell</w:t>
            </w:r>
            <w:proofErr w:type="spellEnd"/>
            <w:r w:rsidRPr="006165DA">
              <w:rPr>
                <w:rFonts w:cs="Calibri"/>
                <w:sz w:val="20"/>
                <w:szCs w:val="22"/>
              </w:rPr>
              <w:t xml:space="preserve"> House Hospice</w:t>
            </w:r>
            <w:r w:rsidRPr="006165DA">
              <w:rPr>
                <w:rFonts w:cs="Calibri"/>
                <w:sz w:val="20"/>
                <w:szCs w:val="22"/>
              </w:rPr>
              <w:br/>
              <w:t>Old Road</w:t>
            </w:r>
            <w:r w:rsidRPr="006165DA">
              <w:rPr>
                <w:rFonts w:cs="Calibri"/>
                <w:sz w:val="20"/>
                <w:szCs w:val="22"/>
              </w:rPr>
              <w:br/>
              <w:t>Headington</w:t>
            </w:r>
            <w:r w:rsidRPr="006165DA">
              <w:rPr>
                <w:rFonts w:cs="Calibri"/>
                <w:sz w:val="20"/>
                <w:szCs w:val="22"/>
              </w:rPr>
              <w:br/>
              <w:t>Oxford</w:t>
            </w:r>
            <w:r w:rsidRPr="006165DA">
              <w:rPr>
                <w:rFonts w:cs="Calibri"/>
                <w:sz w:val="20"/>
                <w:szCs w:val="22"/>
              </w:rPr>
              <w:br/>
              <w:t>Oxfordshire</w:t>
            </w:r>
            <w:r w:rsidRPr="006165DA">
              <w:rPr>
                <w:rFonts w:cs="Calibri"/>
                <w:sz w:val="20"/>
                <w:szCs w:val="22"/>
              </w:rPr>
              <w:br/>
              <w:t>OX3 7LE</w:t>
            </w:r>
          </w:p>
        </w:tc>
      </w:tr>
      <w:tr w:rsidR="00126779" w:rsidRPr="00DE28F5"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96" w:type="dxa"/>
            <w:noWrap/>
            <w:hideMark/>
          </w:tcPr>
          <w:p w:rsidR="00126779" w:rsidRPr="006165DA" w:rsidRDefault="00126779" w:rsidP="00126779">
            <w:pPr>
              <w:rPr>
                <w:rFonts w:asciiTheme="minorHAnsi" w:eastAsia="Times New Roman" w:hAnsiTheme="minorHAnsi" w:cstheme="minorHAnsi"/>
                <w:sz w:val="20"/>
                <w:szCs w:val="20"/>
                <w:lang w:eastAsia="en-GB"/>
              </w:rPr>
            </w:pPr>
            <w:r w:rsidRPr="006165DA">
              <w:rPr>
                <w:rFonts w:asciiTheme="minorHAnsi" w:eastAsia="Times New Roman" w:hAnsiTheme="minorHAnsi" w:cstheme="minorHAnsi"/>
                <w:sz w:val="20"/>
                <w:szCs w:val="20"/>
                <w:lang w:eastAsia="en-GB"/>
              </w:rPr>
              <w:t>17/00984/FUL</w:t>
            </w:r>
          </w:p>
        </w:tc>
        <w:tc>
          <w:tcPr>
            <w:tcW w:w="3392" w:type="dxa"/>
            <w:gridSpan w:val="2"/>
            <w:noWrap/>
            <w:hideMark/>
          </w:tcPr>
          <w:p w:rsidR="00126779" w:rsidRPr="006165DA" w:rsidRDefault="00126779" w:rsidP="00126779">
            <w:pPr>
              <w:rPr>
                <w:rFonts w:asciiTheme="minorHAnsi" w:eastAsia="Times New Roman" w:hAnsiTheme="minorHAnsi" w:cstheme="minorHAnsi"/>
                <w:sz w:val="20"/>
                <w:szCs w:val="20"/>
                <w:lang w:eastAsia="en-GB"/>
              </w:rPr>
            </w:pPr>
            <w:r w:rsidRPr="006165DA">
              <w:rPr>
                <w:rFonts w:asciiTheme="minorHAnsi" w:eastAsia="Times New Roman" w:hAnsiTheme="minorHAnsi" w:cstheme="minorHAnsi"/>
                <w:sz w:val="20"/>
                <w:szCs w:val="20"/>
                <w:lang w:eastAsia="en-GB"/>
              </w:rPr>
              <w:t>Erection of single storey rear extension to Centre for Occupational Health and Wellbeing to allow re-location of Marston Medical Centre to the John Radcliffe Hospital.</w:t>
            </w:r>
          </w:p>
        </w:tc>
        <w:tc>
          <w:tcPr>
            <w:tcW w:w="1992" w:type="dxa"/>
            <w:noWrap/>
          </w:tcPr>
          <w:p w:rsidR="00126779" w:rsidRPr="006165DA" w:rsidRDefault="00126779" w:rsidP="00126779">
            <w:pPr>
              <w:jc w:val="right"/>
              <w:rPr>
                <w:rFonts w:asciiTheme="minorHAnsi" w:eastAsia="Times New Roman" w:hAnsiTheme="minorHAnsi" w:cstheme="minorHAnsi"/>
                <w:sz w:val="20"/>
                <w:szCs w:val="20"/>
                <w:vertAlign w:val="superscript"/>
                <w:lang w:eastAsia="en-GB"/>
              </w:rPr>
            </w:pPr>
            <w:r w:rsidRPr="006165DA">
              <w:rPr>
                <w:rFonts w:asciiTheme="minorHAnsi" w:eastAsia="Times New Roman" w:hAnsiTheme="minorHAnsi" w:cstheme="minorHAnsi"/>
                <w:sz w:val="20"/>
                <w:szCs w:val="20"/>
                <w:lang w:eastAsia="en-GB"/>
              </w:rPr>
              <w:t>33m</w:t>
            </w:r>
            <w:r w:rsidRPr="006165DA">
              <w:rPr>
                <w:rFonts w:asciiTheme="minorHAnsi" w:eastAsia="Times New Roman" w:hAnsiTheme="minorHAnsi" w:cstheme="minorHAnsi"/>
                <w:sz w:val="20"/>
                <w:szCs w:val="20"/>
                <w:vertAlign w:val="superscript"/>
                <w:lang w:eastAsia="en-GB"/>
              </w:rPr>
              <w:t>2</w:t>
            </w:r>
          </w:p>
        </w:tc>
        <w:tc>
          <w:tcPr>
            <w:tcW w:w="2362" w:type="dxa"/>
            <w:noWrap/>
            <w:vAlign w:val="center"/>
          </w:tcPr>
          <w:p w:rsidR="00126779" w:rsidRPr="006165DA" w:rsidRDefault="00126779" w:rsidP="00126779">
            <w:pPr>
              <w:rPr>
                <w:rFonts w:cs="Calibri"/>
                <w:b/>
                <w:sz w:val="20"/>
                <w:szCs w:val="22"/>
              </w:rPr>
            </w:pPr>
            <w:r w:rsidRPr="006165DA">
              <w:rPr>
                <w:rFonts w:cs="Calibri"/>
                <w:b/>
                <w:sz w:val="20"/>
                <w:szCs w:val="22"/>
              </w:rPr>
              <w:t>Located on existing site</w:t>
            </w:r>
          </w:p>
          <w:p w:rsidR="00126779" w:rsidRPr="006165DA" w:rsidRDefault="00126779" w:rsidP="00126779">
            <w:pPr>
              <w:rPr>
                <w:rFonts w:cs="Calibri"/>
                <w:b/>
                <w:sz w:val="20"/>
                <w:szCs w:val="22"/>
              </w:rPr>
            </w:pPr>
            <w:r w:rsidRPr="006165DA">
              <w:rPr>
                <w:rFonts w:cs="Calibri"/>
                <w:b/>
                <w:sz w:val="20"/>
                <w:szCs w:val="22"/>
              </w:rPr>
              <w:t>(John Radcliffe Hospital Site)</w:t>
            </w:r>
          </w:p>
          <w:p w:rsidR="00126779" w:rsidRPr="006165DA" w:rsidRDefault="00126779" w:rsidP="00126779">
            <w:pPr>
              <w:rPr>
                <w:rFonts w:cs="Calibri"/>
                <w:sz w:val="20"/>
                <w:szCs w:val="22"/>
              </w:rPr>
            </w:pPr>
            <w:r w:rsidRPr="006165DA">
              <w:rPr>
                <w:rFonts w:cs="Calibri"/>
                <w:sz w:val="20"/>
                <w:szCs w:val="22"/>
              </w:rPr>
              <w:t xml:space="preserve">John Radcliffe Hospital </w:t>
            </w:r>
            <w:r w:rsidRPr="006165DA">
              <w:rPr>
                <w:rFonts w:cs="Calibri"/>
                <w:sz w:val="20"/>
                <w:szCs w:val="22"/>
              </w:rPr>
              <w:br/>
              <w:t>Headley Way</w:t>
            </w:r>
            <w:r w:rsidRPr="006165DA">
              <w:rPr>
                <w:rFonts w:cs="Calibri"/>
                <w:sz w:val="20"/>
                <w:szCs w:val="22"/>
              </w:rPr>
              <w:br/>
              <w:t>Oxford</w:t>
            </w:r>
            <w:r w:rsidRPr="006165DA">
              <w:rPr>
                <w:rFonts w:cs="Calibri"/>
                <w:sz w:val="20"/>
                <w:szCs w:val="22"/>
              </w:rPr>
              <w:br/>
              <w:t>OX3 9DU</w:t>
            </w:r>
          </w:p>
        </w:tc>
      </w:tr>
      <w:tr w:rsidR="00126779" w:rsidRPr="00EC60C1" w:rsidTr="00126779">
        <w:tc>
          <w:tcPr>
            <w:tcW w:w="3934" w:type="dxa"/>
            <w:gridSpan w:val="2"/>
            <w:tcBorders>
              <w:left w:val="nil"/>
              <w:bottom w:val="nil"/>
            </w:tcBorders>
            <w:shd w:val="clear" w:color="auto" w:fill="FFFFFF" w:themeFill="background1"/>
          </w:tcPr>
          <w:p w:rsidR="00126779" w:rsidRPr="006165DA" w:rsidRDefault="00126779" w:rsidP="00126779">
            <w:pPr>
              <w:jc w:val="center"/>
              <w:rPr>
                <w:rFonts w:asciiTheme="minorHAnsi" w:hAnsiTheme="minorHAnsi" w:cstheme="minorHAnsi"/>
                <w:sz w:val="20"/>
                <w:szCs w:val="20"/>
              </w:rPr>
            </w:pPr>
          </w:p>
        </w:tc>
        <w:tc>
          <w:tcPr>
            <w:tcW w:w="954" w:type="dxa"/>
            <w:shd w:val="clear" w:color="auto" w:fill="DBE5F1" w:themeFill="accent1" w:themeFillTint="33"/>
          </w:tcPr>
          <w:p w:rsidR="00126779" w:rsidRPr="006165DA" w:rsidRDefault="00126779" w:rsidP="00126779">
            <w:pPr>
              <w:jc w:val="center"/>
              <w:rPr>
                <w:rFonts w:asciiTheme="minorHAnsi" w:hAnsiTheme="minorHAnsi" w:cstheme="minorHAnsi"/>
                <w:b/>
                <w:sz w:val="20"/>
                <w:szCs w:val="20"/>
              </w:rPr>
            </w:pPr>
            <w:r w:rsidRPr="006165DA">
              <w:rPr>
                <w:rFonts w:asciiTheme="minorHAnsi" w:hAnsiTheme="minorHAnsi" w:cstheme="minorHAnsi"/>
                <w:b/>
                <w:sz w:val="20"/>
                <w:szCs w:val="20"/>
              </w:rPr>
              <w:t>TOTAL:</w:t>
            </w:r>
          </w:p>
        </w:tc>
        <w:tc>
          <w:tcPr>
            <w:tcW w:w="4354" w:type="dxa"/>
            <w:gridSpan w:val="2"/>
            <w:shd w:val="clear" w:color="auto" w:fill="DBE5F1" w:themeFill="accent1" w:themeFillTint="33"/>
          </w:tcPr>
          <w:p w:rsidR="00126779" w:rsidRPr="006165DA" w:rsidRDefault="00126779" w:rsidP="00126779">
            <w:pPr>
              <w:jc w:val="center"/>
              <w:rPr>
                <w:rFonts w:asciiTheme="minorHAnsi" w:hAnsiTheme="minorHAnsi" w:cstheme="minorHAnsi"/>
                <w:sz w:val="20"/>
                <w:szCs w:val="20"/>
                <w:vertAlign w:val="superscript"/>
              </w:rPr>
            </w:pPr>
            <w:r w:rsidRPr="006165DA">
              <w:rPr>
                <w:rFonts w:asciiTheme="minorHAnsi" w:hAnsiTheme="minorHAnsi" w:cstheme="minorHAnsi"/>
                <w:sz w:val="20"/>
                <w:szCs w:val="20"/>
              </w:rPr>
              <w:t>1,393m</w:t>
            </w:r>
            <w:r w:rsidRPr="006165DA">
              <w:rPr>
                <w:rFonts w:asciiTheme="minorHAnsi" w:hAnsiTheme="minorHAnsi" w:cstheme="minorHAnsi"/>
                <w:sz w:val="20"/>
                <w:szCs w:val="20"/>
                <w:vertAlign w:val="superscript"/>
              </w:rPr>
              <w:t xml:space="preserve">2 </w:t>
            </w:r>
          </w:p>
        </w:tc>
      </w:tr>
    </w:tbl>
    <w:p w:rsidR="00126779" w:rsidRPr="00EC60C1" w:rsidRDefault="00126779" w:rsidP="00126779">
      <w:pPr>
        <w:rPr>
          <w:rFonts w:eastAsia="Calibri" w:cs="Calibri"/>
          <w:color w:val="FF0000"/>
          <w:sz w:val="4"/>
          <w:szCs w:val="4"/>
        </w:rPr>
      </w:pPr>
    </w:p>
    <w:p w:rsidR="00126779" w:rsidRPr="006165DA" w:rsidRDefault="00126779" w:rsidP="00126779">
      <w:pPr>
        <w:jc w:val="center"/>
        <w:rPr>
          <w:rFonts w:cs="Calibri"/>
          <w:sz w:val="20"/>
          <w:szCs w:val="18"/>
        </w:rPr>
      </w:pPr>
      <w:r w:rsidRPr="006165DA">
        <w:rPr>
          <w:rFonts w:cs="Calibri"/>
          <w:b/>
          <w:sz w:val="20"/>
          <w:szCs w:val="18"/>
        </w:rPr>
        <w:t xml:space="preserve">Table </w:t>
      </w:r>
      <w:r w:rsidRPr="006165DA">
        <w:rPr>
          <w:rFonts w:eastAsia="Calibri" w:cs="Calibri"/>
          <w:b/>
          <w:sz w:val="20"/>
          <w:szCs w:val="22"/>
        </w:rPr>
        <w:t>3</w:t>
      </w:r>
      <w:r w:rsidRPr="006165DA">
        <w:rPr>
          <w:rFonts w:cs="Calibri"/>
          <w:b/>
          <w:sz w:val="20"/>
          <w:szCs w:val="18"/>
        </w:rPr>
        <w:t xml:space="preserve">: </w:t>
      </w:r>
      <w:r w:rsidRPr="006165DA">
        <w:rPr>
          <w:rFonts w:cs="Calibri"/>
          <w:sz w:val="20"/>
          <w:szCs w:val="18"/>
        </w:rPr>
        <w:t>Location of new hospital healthcare and medical research developments permitted in 2017/18</w:t>
      </w:r>
    </w:p>
    <w:p w:rsidR="00126779" w:rsidRPr="00EC60C1" w:rsidRDefault="00126779" w:rsidP="00126779">
      <w:pPr>
        <w:rPr>
          <w:rFonts w:cs="Calibri"/>
          <w:color w:val="FF0000"/>
          <w:sz w:val="20"/>
          <w:szCs w:val="18"/>
        </w:rPr>
      </w:pPr>
    </w:p>
    <w:p w:rsidR="00126779" w:rsidRPr="00D92218" w:rsidRDefault="00126779" w:rsidP="00126779">
      <w:pPr>
        <w:numPr>
          <w:ilvl w:val="0"/>
          <w:numId w:val="2"/>
        </w:numPr>
        <w:spacing w:after="200" w:line="276" w:lineRule="auto"/>
        <w:ind w:left="567" w:hanging="567"/>
        <w:jc w:val="both"/>
        <w:rPr>
          <w:rFonts w:eastAsia="Calibri" w:cs="Times New Roman"/>
          <w:szCs w:val="22"/>
        </w:rPr>
      </w:pPr>
      <w:r w:rsidRPr="00D92218">
        <w:rPr>
          <w:rFonts w:eastAsia="Calibri" w:cs="Times New Roman"/>
          <w:szCs w:val="22"/>
        </w:rPr>
        <w:t>Oxford is also a global centre for education and the city benefits significantly from the presence of the two Universities both in terms of the skills emerging from them and employment and investment opportunities.</w:t>
      </w:r>
    </w:p>
    <w:p w:rsidR="00126779" w:rsidRPr="00D92218" w:rsidRDefault="00126779" w:rsidP="00126779">
      <w:pPr>
        <w:numPr>
          <w:ilvl w:val="0"/>
          <w:numId w:val="2"/>
        </w:numPr>
        <w:spacing w:after="200" w:line="276" w:lineRule="auto"/>
        <w:ind w:left="567" w:hanging="567"/>
        <w:jc w:val="both"/>
        <w:rPr>
          <w:rFonts w:eastAsia="Calibri" w:cs="Times New Roman"/>
          <w:szCs w:val="22"/>
        </w:rPr>
      </w:pPr>
      <w:r w:rsidRPr="00D92218">
        <w:rPr>
          <w:rFonts w:eastAsia="Calibri" w:cs="Times New Roman"/>
          <w:szCs w:val="22"/>
        </w:rPr>
        <w:t xml:space="preserve">Table 4 shows </w:t>
      </w:r>
      <w:r>
        <w:rPr>
          <w:rFonts w:eastAsia="Calibri" w:cs="Times New Roman"/>
          <w:szCs w:val="22"/>
        </w:rPr>
        <w:t xml:space="preserve">one </w:t>
      </w:r>
      <w:r w:rsidRPr="00D92218">
        <w:rPr>
          <w:rFonts w:eastAsia="Calibri" w:cs="Times New Roman"/>
          <w:szCs w:val="22"/>
        </w:rPr>
        <w:t xml:space="preserve">planning permission granted in 2017/18 for new university academic teaching and study </w:t>
      </w:r>
      <w:proofErr w:type="spellStart"/>
      <w:r w:rsidRPr="00D92218">
        <w:rPr>
          <w:rFonts w:eastAsia="Calibri" w:cs="Times New Roman"/>
          <w:szCs w:val="22"/>
        </w:rPr>
        <w:t>floorspace</w:t>
      </w:r>
      <w:proofErr w:type="spellEnd"/>
      <w:r w:rsidRPr="00D92218">
        <w:rPr>
          <w:rFonts w:eastAsia="Calibri" w:cs="Times New Roman"/>
          <w:szCs w:val="22"/>
        </w:rPr>
        <w:t xml:space="preserve">. </w:t>
      </w:r>
      <w:r>
        <w:rPr>
          <w:rFonts w:eastAsia="Calibri" w:cs="Times New Roman"/>
          <w:szCs w:val="22"/>
        </w:rPr>
        <w:t xml:space="preserve">The </w:t>
      </w:r>
      <w:r w:rsidRPr="00D92218">
        <w:rPr>
          <w:rFonts w:eastAsia="Calibri" w:cs="Times New Roman"/>
          <w:szCs w:val="22"/>
        </w:rPr>
        <w:t xml:space="preserve">University of Oxford developments were permitted as the University had met the requirements of Core Strategy Policy CS25, which requires each university to have no more than 3,000 students living outside of </w:t>
      </w:r>
      <w:proofErr w:type="gramStart"/>
      <w:r w:rsidRPr="00D92218">
        <w:rPr>
          <w:rFonts w:eastAsia="Calibri" w:cs="Times New Roman"/>
          <w:szCs w:val="22"/>
        </w:rPr>
        <w:t>university</w:t>
      </w:r>
      <w:proofErr w:type="gramEnd"/>
      <w:r w:rsidRPr="00D92218">
        <w:rPr>
          <w:rFonts w:eastAsia="Calibri" w:cs="Times New Roman"/>
          <w:szCs w:val="22"/>
        </w:rPr>
        <w:t xml:space="preserve"> provided accommodation in Oxford (Indicator 17). </w:t>
      </w:r>
      <w:r>
        <w:rPr>
          <w:rFonts w:eastAsia="Calibri" w:cs="Times New Roman"/>
          <w:szCs w:val="22"/>
        </w:rPr>
        <w:t>Permission was sought for the erection of 3,225m</w:t>
      </w:r>
      <w:r>
        <w:rPr>
          <w:rFonts w:eastAsia="Calibri" w:cs="Times New Roman"/>
          <w:szCs w:val="22"/>
          <w:vertAlign w:val="superscript"/>
        </w:rPr>
        <w:t>2</w:t>
      </w:r>
      <w:r>
        <w:rPr>
          <w:rFonts w:eastAsia="Calibri" w:cs="Times New Roman"/>
          <w:szCs w:val="22"/>
        </w:rPr>
        <w:t xml:space="preserve"> of new academic research </w:t>
      </w:r>
      <w:proofErr w:type="spellStart"/>
      <w:r>
        <w:rPr>
          <w:rFonts w:eastAsia="Calibri" w:cs="Times New Roman"/>
          <w:szCs w:val="22"/>
        </w:rPr>
        <w:t>floorspace</w:t>
      </w:r>
      <w:proofErr w:type="spellEnd"/>
      <w:r>
        <w:rPr>
          <w:rFonts w:eastAsia="Calibri" w:cs="Times New Roman"/>
          <w:szCs w:val="22"/>
        </w:rPr>
        <w:t xml:space="preserve"> on a temporary basis to deal with the closure of another building. </w:t>
      </w:r>
      <w:r w:rsidRPr="00B75525">
        <w:rPr>
          <w:rFonts w:eastAsia="Calibri" w:cs="Calibri"/>
          <w:szCs w:val="22"/>
        </w:rPr>
        <w:t>All</w:t>
      </w:r>
      <w:r w:rsidRPr="00D92218">
        <w:rPr>
          <w:rFonts w:eastAsia="Calibri" w:cs="Calibri"/>
          <w:szCs w:val="22"/>
        </w:rPr>
        <w:t xml:space="preserve"> of the developments permitted would be located on existing sites under the control of the University in accordance with the Core Strategy target. </w:t>
      </w: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526"/>
        <w:gridCol w:w="2410"/>
        <w:gridCol w:w="1701"/>
        <w:gridCol w:w="1417"/>
        <w:gridCol w:w="2188"/>
      </w:tblGrid>
      <w:tr w:rsidR="00126779" w:rsidRPr="00EC60C1" w:rsidTr="00126779">
        <w:tc>
          <w:tcPr>
            <w:tcW w:w="1526" w:type="dxa"/>
            <w:shd w:val="clear" w:color="auto" w:fill="DBE5F1" w:themeFill="accent1" w:themeFillTint="33"/>
            <w:vAlign w:val="center"/>
          </w:tcPr>
          <w:p w:rsidR="00126779" w:rsidRPr="00D92218" w:rsidRDefault="00126779" w:rsidP="00126779">
            <w:pPr>
              <w:jc w:val="center"/>
              <w:rPr>
                <w:rFonts w:asciiTheme="minorHAnsi" w:hAnsiTheme="minorHAnsi" w:cstheme="minorHAnsi"/>
                <w:b/>
                <w:sz w:val="20"/>
              </w:rPr>
            </w:pPr>
            <w:r w:rsidRPr="00D92218">
              <w:rPr>
                <w:rFonts w:asciiTheme="minorHAnsi" w:hAnsiTheme="minorHAnsi" w:cstheme="minorHAnsi"/>
                <w:b/>
                <w:sz w:val="20"/>
              </w:rPr>
              <w:t>Application Reference</w:t>
            </w:r>
          </w:p>
        </w:tc>
        <w:tc>
          <w:tcPr>
            <w:tcW w:w="4111" w:type="dxa"/>
            <w:gridSpan w:val="2"/>
            <w:shd w:val="clear" w:color="auto" w:fill="DBE5F1" w:themeFill="accent1" w:themeFillTint="33"/>
            <w:vAlign w:val="center"/>
          </w:tcPr>
          <w:p w:rsidR="00126779" w:rsidRPr="00D92218" w:rsidRDefault="00126779" w:rsidP="00126779">
            <w:pPr>
              <w:jc w:val="center"/>
              <w:rPr>
                <w:rFonts w:asciiTheme="minorHAnsi" w:hAnsiTheme="minorHAnsi" w:cstheme="minorHAnsi"/>
                <w:b/>
                <w:sz w:val="20"/>
              </w:rPr>
            </w:pPr>
            <w:r w:rsidRPr="00D92218">
              <w:rPr>
                <w:rFonts w:asciiTheme="minorHAnsi" w:hAnsiTheme="minorHAnsi" w:cstheme="minorHAnsi"/>
                <w:b/>
                <w:sz w:val="20"/>
              </w:rPr>
              <w:t>Description of Development</w:t>
            </w:r>
          </w:p>
        </w:tc>
        <w:tc>
          <w:tcPr>
            <w:tcW w:w="1417" w:type="dxa"/>
            <w:shd w:val="clear" w:color="auto" w:fill="DBE5F1" w:themeFill="accent1" w:themeFillTint="33"/>
            <w:vAlign w:val="center"/>
          </w:tcPr>
          <w:p w:rsidR="00126779" w:rsidRPr="00D92218" w:rsidRDefault="00126779" w:rsidP="00126779">
            <w:pPr>
              <w:jc w:val="center"/>
              <w:rPr>
                <w:rFonts w:asciiTheme="minorHAnsi" w:hAnsiTheme="minorHAnsi" w:cstheme="minorHAnsi"/>
                <w:b/>
                <w:sz w:val="20"/>
              </w:rPr>
            </w:pPr>
            <w:r w:rsidRPr="00D92218">
              <w:rPr>
                <w:rFonts w:asciiTheme="minorHAnsi" w:hAnsiTheme="minorHAnsi" w:cstheme="minorHAnsi"/>
                <w:b/>
                <w:sz w:val="18"/>
              </w:rPr>
              <w:t xml:space="preserve">Net additional </w:t>
            </w:r>
            <w:proofErr w:type="spellStart"/>
            <w:r w:rsidRPr="00D92218">
              <w:rPr>
                <w:rFonts w:asciiTheme="minorHAnsi" w:hAnsiTheme="minorHAnsi" w:cstheme="minorHAnsi"/>
                <w:b/>
                <w:sz w:val="18"/>
              </w:rPr>
              <w:t>floorspace</w:t>
            </w:r>
            <w:proofErr w:type="spellEnd"/>
            <w:r w:rsidRPr="00D92218">
              <w:rPr>
                <w:rFonts w:asciiTheme="minorHAnsi" w:hAnsiTheme="minorHAnsi" w:cstheme="minorHAnsi"/>
                <w:b/>
                <w:sz w:val="18"/>
              </w:rPr>
              <w:t xml:space="preserve"> (GIA)</w:t>
            </w:r>
          </w:p>
        </w:tc>
        <w:tc>
          <w:tcPr>
            <w:tcW w:w="2188" w:type="dxa"/>
            <w:shd w:val="clear" w:color="auto" w:fill="DBE5F1" w:themeFill="accent1" w:themeFillTint="33"/>
            <w:vAlign w:val="center"/>
          </w:tcPr>
          <w:p w:rsidR="00126779" w:rsidRPr="00EC60C1" w:rsidRDefault="00126779" w:rsidP="00126779">
            <w:pPr>
              <w:jc w:val="center"/>
              <w:rPr>
                <w:rFonts w:asciiTheme="minorHAnsi" w:hAnsiTheme="minorHAnsi" w:cstheme="minorHAnsi"/>
                <w:b/>
                <w:color w:val="FF0000"/>
                <w:sz w:val="20"/>
              </w:rPr>
            </w:pPr>
            <w:r w:rsidRPr="00D92218">
              <w:rPr>
                <w:rFonts w:asciiTheme="minorHAnsi" w:hAnsiTheme="minorHAnsi" w:cstheme="minorHAnsi"/>
                <w:b/>
                <w:sz w:val="20"/>
              </w:rPr>
              <w:t>Located on existing university site?</w:t>
            </w:r>
          </w:p>
        </w:tc>
      </w:tr>
      <w:tr w:rsidR="00126779" w:rsidRPr="00EC60C1" w:rsidTr="00126779">
        <w:tc>
          <w:tcPr>
            <w:tcW w:w="9242" w:type="dxa"/>
            <w:gridSpan w:val="5"/>
            <w:shd w:val="clear" w:color="auto" w:fill="DAEEF3" w:themeFill="accent5" w:themeFillTint="33"/>
          </w:tcPr>
          <w:p w:rsidR="00126779" w:rsidRPr="00D92218" w:rsidRDefault="00126779" w:rsidP="00126779">
            <w:pPr>
              <w:rPr>
                <w:rFonts w:asciiTheme="minorHAnsi" w:hAnsiTheme="minorHAnsi" w:cstheme="minorHAnsi"/>
                <w:b/>
                <w:sz w:val="20"/>
              </w:rPr>
            </w:pPr>
            <w:r w:rsidRPr="00D92218">
              <w:rPr>
                <w:rFonts w:asciiTheme="minorHAnsi" w:hAnsiTheme="minorHAnsi" w:cstheme="minorHAnsi"/>
                <w:b/>
                <w:sz w:val="20"/>
              </w:rPr>
              <w:t>The University of Oxford</w:t>
            </w:r>
          </w:p>
        </w:tc>
      </w:tr>
      <w:tr w:rsidR="00126779" w:rsidRPr="00B75525" w:rsidTr="00126779">
        <w:tc>
          <w:tcPr>
            <w:tcW w:w="1526" w:type="dxa"/>
            <w:shd w:val="clear" w:color="auto" w:fill="F2F2F2" w:themeFill="background1" w:themeFillShade="F2"/>
          </w:tcPr>
          <w:p w:rsidR="00126779" w:rsidRPr="00B75525" w:rsidRDefault="00126779" w:rsidP="00126779">
            <w:pPr>
              <w:rPr>
                <w:rFonts w:asciiTheme="minorHAnsi" w:eastAsia="Times New Roman" w:hAnsiTheme="minorHAnsi" w:cstheme="minorHAnsi"/>
                <w:sz w:val="20"/>
                <w:szCs w:val="20"/>
                <w:lang w:eastAsia="en-GB"/>
              </w:rPr>
            </w:pPr>
            <w:r w:rsidRPr="00B75525">
              <w:rPr>
                <w:rFonts w:asciiTheme="minorHAnsi" w:eastAsia="Times New Roman" w:hAnsiTheme="minorHAnsi" w:cstheme="minorHAnsi"/>
                <w:sz w:val="20"/>
                <w:szCs w:val="20"/>
                <w:lang w:eastAsia="en-GB"/>
              </w:rPr>
              <w:t>17/01259/FUL</w:t>
            </w:r>
          </w:p>
          <w:p w:rsidR="00126779" w:rsidRPr="00B75525" w:rsidRDefault="00126779" w:rsidP="00126779">
            <w:pPr>
              <w:rPr>
                <w:rFonts w:asciiTheme="minorHAnsi" w:eastAsia="Times New Roman" w:hAnsiTheme="minorHAnsi" w:cstheme="minorHAnsi"/>
                <w:sz w:val="20"/>
                <w:szCs w:val="20"/>
                <w:lang w:eastAsia="en-GB"/>
              </w:rPr>
            </w:pPr>
            <w:r w:rsidRPr="00B75525">
              <w:rPr>
                <w:rFonts w:asciiTheme="minorHAnsi" w:eastAsia="Times New Roman" w:hAnsiTheme="minorHAnsi" w:cstheme="minorHAnsi"/>
                <w:sz w:val="20"/>
                <w:szCs w:val="20"/>
                <w:lang w:eastAsia="en-GB"/>
              </w:rPr>
              <w:t>(temporary)</w:t>
            </w:r>
          </w:p>
        </w:tc>
        <w:tc>
          <w:tcPr>
            <w:tcW w:w="4111" w:type="dxa"/>
            <w:gridSpan w:val="2"/>
            <w:shd w:val="clear" w:color="auto" w:fill="F2F2F2" w:themeFill="background1" w:themeFillShade="F2"/>
          </w:tcPr>
          <w:p w:rsidR="00126779" w:rsidRPr="00B75525" w:rsidRDefault="00126779" w:rsidP="00126779">
            <w:pPr>
              <w:rPr>
                <w:rFonts w:asciiTheme="minorHAnsi" w:eastAsia="Times New Roman" w:hAnsiTheme="minorHAnsi" w:cstheme="minorHAnsi"/>
                <w:sz w:val="20"/>
                <w:szCs w:val="20"/>
                <w:lang w:eastAsia="en-GB"/>
              </w:rPr>
            </w:pPr>
            <w:r w:rsidRPr="00B75525">
              <w:rPr>
                <w:rFonts w:asciiTheme="minorHAnsi" w:eastAsia="Times New Roman" w:hAnsiTheme="minorHAnsi" w:cstheme="minorHAnsi"/>
                <w:sz w:val="20"/>
                <w:szCs w:val="20"/>
                <w:lang w:eastAsia="en-GB"/>
              </w:rPr>
              <w:t>Erection of a research and administrative modular building for the department of Zoology (Use Class D1) for a temporary period of 4 years and 10 months.</w:t>
            </w:r>
          </w:p>
        </w:tc>
        <w:tc>
          <w:tcPr>
            <w:tcW w:w="1417" w:type="dxa"/>
            <w:shd w:val="clear" w:color="auto" w:fill="F2F2F2" w:themeFill="background1" w:themeFillShade="F2"/>
          </w:tcPr>
          <w:p w:rsidR="00126779" w:rsidRPr="00B75525" w:rsidRDefault="00126779" w:rsidP="00126779">
            <w:pPr>
              <w:jc w:val="right"/>
              <w:rPr>
                <w:rFonts w:asciiTheme="minorHAnsi" w:eastAsia="Times New Roman" w:hAnsiTheme="minorHAnsi" w:cstheme="minorHAnsi"/>
                <w:sz w:val="20"/>
                <w:szCs w:val="20"/>
                <w:lang w:eastAsia="en-GB"/>
              </w:rPr>
            </w:pPr>
            <w:r w:rsidRPr="00B75525">
              <w:rPr>
                <w:rFonts w:asciiTheme="minorHAnsi" w:eastAsia="Times New Roman" w:hAnsiTheme="minorHAnsi" w:cstheme="minorHAnsi"/>
                <w:sz w:val="20"/>
                <w:szCs w:val="20"/>
                <w:lang w:eastAsia="en-GB"/>
              </w:rPr>
              <w:t>3</w:t>
            </w:r>
            <w:r w:rsidR="0070297F">
              <w:rPr>
                <w:rFonts w:asciiTheme="minorHAnsi" w:eastAsia="Times New Roman" w:hAnsiTheme="minorHAnsi" w:cstheme="minorHAnsi"/>
                <w:sz w:val="20"/>
                <w:szCs w:val="20"/>
                <w:lang w:eastAsia="en-GB"/>
              </w:rPr>
              <w:t>,</w:t>
            </w:r>
            <w:r w:rsidRPr="00B75525">
              <w:rPr>
                <w:rFonts w:asciiTheme="minorHAnsi" w:eastAsia="Times New Roman" w:hAnsiTheme="minorHAnsi" w:cstheme="minorHAnsi"/>
                <w:sz w:val="20"/>
                <w:szCs w:val="20"/>
                <w:lang w:eastAsia="en-GB"/>
              </w:rPr>
              <w:t>225m</w:t>
            </w:r>
            <w:r w:rsidRPr="00B75525">
              <w:rPr>
                <w:rFonts w:asciiTheme="minorHAnsi" w:eastAsia="Times New Roman" w:hAnsiTheme="minorHAnsi" w:cstheme="minorHAnsi"/>
                <w:sz w:val="20"/>
                <w:szCs w:val="20"/>
                <w:vertAlign w:val="superscript"/>
                <w:lang w:eastAsia="en-GB"/>
              </w:rPr>
              <w:t>2</w:t>
            </w:r>
          </w:p>
        </w:tc>
        <w:tc>
          <w:tcPr>
            <w:tcW w:w="2188" w:type="dxa"/>
            <w:shd w:val="clear" w:color="auto" w:fill="F2F2F2" w:themeFill="background1" w:themeFillShade="F2"/>
            <w:vAlign w:val="center"/>
          </w:tcPr>
          <w:p w:rsidR="00126779" w:rsidRPr="00B75525" w:rsidRDefault="00126779" w:rsidP="00126779">
            <w:pPr>
              <w:rPr>
                <w:rFonts w:cs="Calibri"/>
                <w:b/>
                <w:sz w:val="20"/>
                <w:szCs w:val="22"/>
              </w:rPr>
            </w:pPr>
            <w:r w:rsidRPr="00B75525">
              <w:rPr>
                <w:rFonts w:cs="Calibri"/>
                <w:b/>
                <w:sz w:val="20"/>
                <w:szCs w:val="22"/>
              </w:rPr>
              <w:t>Located on existing site</w:t>
            </w:r>
          </w:p>
          <w:p w:rsidR="00126779" w:rsidRPr="00B75525" w:rsidRDefault="00126779" w:rsidP="00126779">
            <w:pPr>
              <w:rPr>
                <w:rFonts w:cs="Calibri"/>
                <w:b/>
                <w:sz w:val="20"/>
                <w:szCs w:val="22"/>
              </w:rPr>
            </w:pPr>
            <w:r w:rsidRPr="00B75525">
              <w:rPr>
                <w:rFonts w:cs="Calibri"/>
                <w:b/>
                <w:sz w:val="20"/>
                <w:szCs w:val="22"/>
              </w:rPr>
              <w:t>(University of Oxford Science area and Keble Road triangle)</w:t>
            </w:r>
          </w:p>
          <w:p w:rsidR="00126779" w:rsidRPr="00B75525" w:rsidRDefault="00126779" w:rsidP="00126779">
            <w:pPr>
              <w:rPr>
                <w:rFonts w:cs="Calibri"/>
                <w:sz w:val="20"/>
                <w:szCs w:val="22"/>
              </w:rPr>
            </w:pPr>
            <w:r w:rsidRPr="00B75525">
              <w:rPr>
                <w:rFonts w:cs="Calibri"/>
                <w:sz w:val="20"/>
                <w:szCs w:val="22"/>
              </w:rPr>
              <w:t>Land To The Rear Of The University Club</w:t>
            </w:r>
            <w:r w:rsidRPr="00B75525">
              <w:rPr>
                <w:rFonts w:cs="Calibri"/>
                <w:sz w:val="20"/>
                <w:szCs w:val="22"/>
              </w:rPr>
              <w:br/>
              <w:t>11 Mansfield Road</w:t>
            </w:r>
            <w:r w:rsidRPr="00B75525">
              <w:rPr>
                <w:rFonts w:cs="Calibri"/>
                <w:sz w:val="20"/>
                <w:szCs w:val="22"/>
              </w:rPr>
              <w:br/>
              <w:t>Oxford</w:t>
            </w:r>
            <w:r w:rsidRPr="00B75525">
              <w:rPr>
                <w:rFonts w:cs="Calibri"/>
                <w:sz w:val="20"/>
                <w:szCs w:val="22"/>
              </w:rPr>
              <w:br/>
              <w:t>Oxfordshire</w:t>
            </w:r>
            <w:r w:rsidRPr="00B75525">
              <w:rPr>
                <w:rFonts w:cs="Calibri"/>
                <w:sz w:val="20"/>
                <w:szCs w:val="22"/>
              </w:rPr>
              <w:br/>
              <w:t>OX1 3SZ</w:t>
            </w:r>
          </w:p>
        </w:tc>
      </w:tr>
      <w:tr w:rsidR="00126779" w:rsidRPr="00B75525" w:rsidTr="00126779">
        <w:tc>
          <w:tcPr>
            <w:tcW w:w="9242" w:type="dxa"/>
            <w:gridSpan w:val="5"/>
            <w:shd w:val="clear" w:color="auto" w:fill="DAEEF3" w:themeFill="accent5" w:themeFillTint="33"/>
          </w:tcPr>
          <w:p w:rsidR="00126779" w:rsidRPr="00B75525" w:rsidRDefault="00126779" w:rsidP="00126779">
            <w:pPr>
              <w:rPr>
                <w:rFonts w:asciiTheme="minorHAnsi" w:hAnsiTheme="minorHAnsi" w:cstheme="minorHAnsi"/>
                <w:b/>
                <w:sz w:val="20"/>
              </w:rPr>
            </w:pPr>
            <w:r w:rsidRPr="00B75525">
              <w:rPr>
                <w:rFonts w:asciiTheme="minorHAnsi" w:hAnsiTheme="minorHAnsi" w:cstheme="minorHAnsi"/>
                <w:b/>
                <w:sz w:val="20"/>
              </w:rPr>
              <w:t>Oxford Brookes University</w:t>
            </w:r>
          </w:p>
        </w:tc>
      </w:tr>
      <w:tr w:rsidR="00126779" w:rsidRPr="00B75525" w:rsidTr="00126779">
        <w:tc>
          <w:tcPr>
            <w:tcW w:w="9242" w:type="dxa"/>
            <w:gridSpan w:val="5"/>
            <w:shd w:val="clear" w:color="auto" w:fill="auto"/>
          </w:tcPr>
          <w:p w:rsidR="00126779" w:rsidRPr="00B75525" w:rsidRDefault="00126779" w:rsidP="00126779">
            <w:pPr>
              <w:rPr>
                <w:rFonts w:asciiTheme="minorHAnsi" w:hAnsiTheme="minorHAnsi" w:cstheme="minorHAnsi"/>
                <w:sz w:val="20"/>
                <w:szCs w:val="20"/>
              </w:rPr>
            </w:pPr>
            <w:r w:rsidRPr="00B75525">
              <w:rPr>
                <w:rFonts w:asciiTheme="minorHAnsi" w:hAnsiTheme="minorHAnsi" w:cstheme="minorHAnsi"/>
                <w:sz w:val="20"/>
                <w:szCs w:val="20"/>
              </w:rPr>
              <w:t>No planning applications received.</w:t>
            </w:r>
          </w:p>
        </w:tc>
      </w:tr>
      <w:tr w:rsidR="00126779" w:rsidRPr="00B75525" w:rsidTr="00126779">
        <w:trPr>
          <w:gridBefore w:val="2"/>
          <w:wBefore w:w="3936" w:type="dxa"/>
        </w:trPr>
        <w:tc>
          <w:tcPr>
            <w:tcW w:w="1701" w:type="dxa"/>
            <w:shd w:val="clear" w:color="auto" w:fill="DBE5F1" w:themeFill="accent1" w:themeFillTint="33"/>
          </w:tcPr>
          <w:p w:rsidR="00126779" w:rsidRPr="00B75525" w:rsidRDefault="00126779" w:rsidP="00126779">
            <w:pPr>
              <w:jc w:val="right"/>
              <w:rPr>
                <w:rFonts w:asciiTheme="minorHAnsi" w:hAnsiTheme="minorHAnsi" w:cstheme="minorHAnsi"/>
                <w:b/>
                <w:sz w:val="20"/>
              </w:rPr>
            </w:pPr>
            <w:r w:rsidRPr="00B75525">
              <w:rPr>
                <w:rFonts w:asciiTheme="minorHAnsi" w:hAnsiTheme="minorHAnsi" w:cstheme="minorHAnsi"/>
                <w:b/>
                <w:sz w:val="20"/>
              </w:rPr>
              <w:t>TOTAL:</w:t>
            </w:r>
          </w:p>
        </w:tc>
        <w:tc>
          <w:tcPr>
            <w:tcW w:w="3605" w:type="dxa"/>
            <w:gridSpan w:val="2"/>
            <w:shd w:val="clear" w:color="auto" w:fill="DBE5F1" w:themeFill="accent1" w:themeFillTint="33"/>
          </w:tcPr>
          <w:p w:rsidR="00126779" w:rsidRPr="00B75525" w:rsidRDefault="00126779" w:rsidP="00126779">
            <w:pPr>
              <w:jc w:val="center"/>
              <w:rPr>
                <w:rFonts w:asciiTheme="minorHAnsi" w:hAnsiTheme="minorHAnsi" w:cstheme="minorHAnsi"/>
                <w:sz w:val="20"/>
                <w:vertAlign w:val="superscript"/>
              </w:rPr>
            </w:pPr>
            <w:r w:rsidRPr="00B75525">
              <w:rPr>
                <w:rFonts w:asciiTheme="minorHAnsi" w:hAnsiTheme="minorHAnsi" w:cstheme="minorHAnsi"/>
                <w:sz w:val="20"/>
              </w:rPr>
              <w:t>3,225m</w:t>
            </w:r>
            <w:r w:rsidRPr="00B75525">
              <w:rPr>
                <w:rFonts w:asciiTheme="minorHAnsi" w:hAnsiTheme="minorHAnsi" w:cstheme="minorHAnsi"/>
                <w:sz w:val="20"/>
                <w:vertAlign w:val="superscript"/>
              </w:rPr>
              <w:t>2</w:t>
            </w:r>
          </w:p>
        </w:tc>
      </w:tr>
    </w:tbl>
    <w:p w:rsidR="00126779" w:rsidRPr="00B75525" w:rsidRDefault="00126779" w:rsidP="00126779">
      <w:pPr>
        <w:jc w:val="center"/>
        <w:rPr>
          <w:rFonts w:cs="Calibri"/>
          <w:sz w:val="20"/>
          <w:szCs w:val="18"/>
        </w:rPr>
      </w:pPr>
      <w:r w:rsidRPr="00B75525">
        <w:rPr>
          <w:rFonts w:cs="Calibri"/>
          <w:b/>
          <w:sz w:val="20"/>
          <w:szCs w:val="18"/>
        </w:rPr>
        <w:t xml:space="preserve">Table </w:t>
      </w:r>
      <w:r w:rsidRPr="00B75525">
        <w:rPr>
          <w:rFonts w:eastAsia="Calibri" w:cs="Calibri"/>
          <w:b/>
          <w:sz w:val="20"/>
          <w:szCs w:val="22"/>
        </w:rPr>
        <w:t>4</w:t>
      </w:r>
      <w:r w:rsidRPr="00B75525">
        <w:rPr>
          <w:rFonts w:cs="Calibri"/>
          <w:b/>
          <w:sz w:val="20"/>
          <w:szCs w:val="18"/>
        </w:rPr>
        <w:t xml:space="preserve">: </w:t>
      </w:r>
      <w:r w:rsidRPr="00B75525">
        <w:rPr>
          <w:rFonts w:cs="Calibri"/>
          <w:sz w:val="20"/>
          <w:szCs w:val="18"/>
        </w:rPr>
        <w:t>University academic (teaching and study) development permitted 2017/18</w:t>
      </w:r>
    </w:p>
    <w:p w:rsidR="00126779" w:rsidRPr="007E2BF2" w:rsidRDefault="00126779" w:rsidP="00126779">
      <w:pPr>
        <w:jc w:val="center"/>
      </w:pPr>
    </w:p>
    <w:p w:rsidR="00126779" w:rsidRDefault="00126779" w:rsidP="00126779"/>
    <w:p w:rsidR="0070297F" w:rsidRDefault="0070297F" w:rsidP="00126779"/>
    <w:p w:rsidR="0070297F" w:rsidRDefault="0070297F" w:rsidP="00126779"/>
    <w:p w:rsidR="0070297F" w:rsidRDefault="0070297F" w:rsidP="00126779"/>
    <w:p w:rsidR="0070297F" w:rsidRDefault="0070297F" w:rsidP="00126779"/>
    <w:p w:rsidR="0070297F" w:rsidRDefault="0070297F" w:rsidP="00126779"/>
    <w:p w:rsidR="0070297F" w:rsidRPr="007E2BF2" w:rsidRDefault="0070297F" w:rsidP="00126779"/>
    <w:bookmarkStart w:id="9" w:name="_Toc529178339"/>
    <w:p w:rsidR="00126779" w:rsidRPr="007E2BF2" w:rsidRDefault="00126779" w:rsidP="00126779">
      <w:pPr>
        <w:outlineLvl w:val="1"/>
        <w:rPr>
          <w:rFonts w:asciiTheme="minorHAnsi" w:hAnsiTheme="minorHAnsi"/>
          <w:b/>
          <w:sz w:val="24"/>
          <w:lang w:eastAsia="en-GB"/>
        </w:rPr>
      </w:pPr>
      <w:r w:rsidRPr="007E2BF2">
        <w:rPr>
          <w:rFonts w:asciiTheme="minorHAnsi" w:hAnsiTheme="minorHAnsi"/>
          <w:b/>
          <w:noProof/>
          <w:sz w:val="8"/>
          <w:szCs w:val="22"/>
          <w:lang w:eastAsia="en-GB"/>
        </w:rPr>
        <mc:AlternateContent>
          <mc:Choice Requires="wps">
            <w:drawing>
              <wp:anchor distT="0" distB="0" distL="114300" distR="114300" simplePos="0" relativeHeight="251660288" behindDoc="1" locked="0" layoutInCell="1" allowOverlap="1" wp14:anchorId="5F988731" wp14:editId="79874434">
                <wp:simplePos x="0" y="0"/>
                <wp:positionH relativeFrom="column">
                  <wp:posOffset>-57150</wp:posOffset>
                </wp:positionH>
                <wp:positionV relativeFrom="paragraph">
                  <wp:posOffset>-29845</wp:posOffset>
                </wp:positionV>
                <wp:extent cx="5857875" cy="1495425"/>
                <wp:effectExtent l="0" t="0" r="9525" b="9525"/>
                <wp:wrapNone/>
                <wp:docPr id="131" name="Rectangle 131"/>
                <wp:cNvGraphicFramePr/>
                <a:graphic xmlns:a="http://schemas.openxmlformats.org/drawingml/2006/main">
                  <a:graphicData uri="http://schemas.microsoft.com/office/word/2010/wordprocessingShape">
                    <wps:wsp>
                      <wps:cNvSpPr/>
                      <wps:spPr>
                        <a:xfrm>
                          <a:off x="0" y="0"/>
                          <a:ext cx="5857875"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212D3D" id="Rectangle 131" o:spid="_x0000_s1026" style="position:absolute;margin-left:-4.5pt;margin-top:-2.35pt;width:461.25pt;height:11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" fillcolor="#dbeef4" stroked="f" strokeweight="2pt"/>
            </w:pict>
          </mc:Fallback>
        </mc:AlternateContent>
      </w:r>
      <w:r w:rsidRPr="007E2BF2">
        <w:rPr>
          <w:rFonts w:asciiTheme="minorHAnsi" w:hAnsiTheme="minorHAnsi"/>
          <w:b/>
          <w:sz w:val="24"/>
          <w:lang w:eastAsia="en-GB"/>
        </w:rPr>
        <w:t>Indicator 4: LOCATION OF NEW A1 RETAIL DEVELOPMENT</w:t>
      </w:r>
      <w:bookmarkEnd w:id="9"/>
    </w:p>
    <w:p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rsidR="00126779" w:rsidRPr="007E2BF2" w:rsidRDefault="00126779" w:rsidP="00126779">
      <w:pPr>
        <w:autoSpaceDE w:val="0"/>
        <w:autoSpaceDN w:val="0"/>
        <w:adjustRightInd w:val="0"/>
        <w:ind w:left="720" w:hanging="72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100% of new A1 retail development to be located within city, district and neighbourhood centres </w:t>
      </w:r>
      <w:r w:rsidRPr="007E2BF2">
        <w:rPr>
          <w:rFonts w:eastAsia="Calibri" w:cs="Calibri"/>
          <w:color w:val="244061" w:themeColor="accent1" w:themeShade="80"/>
          <w:sz w:val="20"/>
          <w:szCs w:val="22"/>
        </w:rPr>
        <w:t>(Oxford Core Strategy Policy CS31)</w:t>
      </w:r>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rsidTr="00126779">
        <w:trPr>
          <w:trHeight w:val="218"/>
        </w:trPr>
        <w:tc>
          <w:tcPr>
            <w:tcW w:w="5420" w:type="dxa"/>
          </w:tcPr>
          <w:p w:rsidR="00126779" w:rsidRPr="007E2BF2" w:rsidRDefault="00126779" w:rsidP="00126779">
            <w:pPr>
              <w:autoSpaceDE w:val="0"/>
              <w:autoSpaceDN w:val="0"/>
              <w:adjustRightInd w:val="0"/>
              <w:ind w:left="-108"/>
              <w:rPr>
                <w:rFonts w:ascii="Arial" w:hAnsi="Arial"/>
                <w:b/>
                <w:noProof/>
                <w:sz w:val="20"/>
                <w:szCs w:val="16"/>
                <w:lang w:eastAsia="en-GB"/>
              </w:rPr>
            </w:pPr>
            <w:r>
              <w:rPr>
                <w:rFonts w:ascii="Arial" w:eastAsia="Calibri" w:hAnsi="Arial" w:cs="Calibri"/>
                <w:b/>
                <w:color w:val="244061" w:themeColor="accent1" w:themeShade="80"/>
                <w:sz w:val="20"/>
                <w:szCs w:val="22"/>
              </w:rPr>
              <w:t>Performance against target 2017/18</w:t>
            </w:r>
            <w:r w:rsidRPr="007E2BF2">
              <w:rPr>
                <w:rFonts w:ascii="Arial" w:eastAsia="Calibri" w:hAnsi="Arial" w:cs="Calibri"/>
                <w:b/>
                <w:color w:val="244061" w:themeColor="accent1" w:themeShade="80"/>
                <w:sz w:val="20"/>
                <w:szCs w:val="22"/>
              </w:rPr>
              <w:t>:</w:t>
            </w:r>
          </w:p>
        </w:tc>
        <w:tc>
          <w:tcPr>
            <w:tcW w:w="3714" w:type="dxa"/>
            <w:gridSpan w:val="2"/>
          </w:tcPr>
          <w:p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26779" w:rsidRPr="00853949" w:rsidRDefault="00126779" w:rsidP="00126779">
            <w:pPr>
              <w:autoSpaceDE w:val="0"/>
              <w:autoSpaceDN w:val="0"/>
              <w:adjustRightInd w:val="0"/>
              <w:rPr>
                <w:rFonts w:ascii="Arial" w:eastAsia="Calibri" w:hAnsi="Arial" w:cs="Calibri"/>
                <w:b/>
                <w:color w:val="244061" w:themeColor="accent1" w:themeShade="80"/>
                <w:sz w:val="2"/>
                <w:szCs w:val="2"/>
              </w:rPr>
            </w:pPr>
          </w:p>
        </w:tc>
      </w:tr>
      <w:tr w:rsidR="00126779" w:rsidRPr="007E2BF2" w:rsidTr="00126779">
        <w:tc>
          <w:tcPr>
            <w:tcW w:w="5420" w:type="dxa"/>
            <w:vMerge w:val="restart"/>
          </w:tcPr>
          <w:p w:rsidR="00126779" w:rsidRPr="00853949" w:rsidRDefault="00126779" w:rsidP="00126779">
            <w:pPr>
              <w:autoSpaceDE w:val="0"/>
              <w:autoSpaceDN w:val="0"/>
              <w:adjustRightInd w:val="0"/>
              <w:jc w:val="center"/>
              <w:rPr>
                <w:rFonts w:ascii="Arial" w:eastAsia="Calibri" w:hAnsi="Arial" w:cs="Calibri"/>
                <w:b/>
                <w:noProof/>
                <w:color w:val="244061" w:themeColor="accent1" w:themeShade="80"/>
                <w:sz w:val="8"/>
                <w:szCs w:val="8"/>
                <w:lang w:eastAsia="en-GB"/>
              </w:rPr>
            </w:pP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Pr>
                <w:noProof/>
                <w:lang w:eastAsia="en-GB"/>
              </w:rPr>
              <w:drawing>
                <wp:inline distT="0" distB="0" distL="0" distR="0" wp14:anchorId="55508430" wp14:editId="0CEC04AD">
                  <wp:extent cx="1397564" cy="437272"/>
                  <wp:effectExtent l="0" t="0" r="0" b="1270"/>
                  <wp:docPr id="9" name="Picture 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979" cy="474009"/>
                          </a:xfrm>
                          <a:prstGeom prst="rect">
                            <a:avLst/>
                          </a:prstGeom>
                          <a:noFill/>
                          <a:ln>
                            <a:noFill/>
                          </a:ln>
                        </pic:spPr>
                      </pic:pic>
                    </a:graphicData>
                  </a:graphic>
                </wp:inline>
              </w:drawing>
            </w: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557C0F27" wp14:editId="135E2EC0">
                  <wp:extent cx="819150" cy="255469"/>
                  <wp:effectExtent l="0" t="0" r="0" b="0"/>
                  <wp:docPr id="157" name="Picture 15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p w:rsidR="00126779" w:rsidRPr="00853949" w:rsidRDefault="00126779" w:rsidP="00126779">
            <w:pPr>
              <w:autoSpaceDE w:val="0"/>
              <w:autoSpaceDN w:val="0"/>
              <w:adjustRightInd w:val="0"/>
              <w:jc w:val="center"/>
              <w:rPr>
                <w:rFonts w:ascii="Arial" w:eastAsia="Calibri" w:hAnsi="Arial" w:cs="Calibri"/>
                <w:b/>
                <w:color w:val="244061" w:themeColor="accent1" w:themeShade="80"/>
                <w:sz w:val="6"/>
                <w:szCs w:val="6"/>
              </w:rPr>
            </w:pPr>
          </w:p>
        </w:tc>
      </w:tr>
      <w:tr w:rsidR="00126779" w:rsidRPr="007E2BF2" w:rsidTr="00126779">
        <w:tc>
          <w:tcPr>
            <w:tcW w:w="5420" w:type="dxa"/>
            <w:vMerge/>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2015/16</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1F343E97" wp14:editId="3251DB3B">
                  <wp:extent cx="819150" cy="255469"/>
                  <wp:effectExtent l="0" t="0" r="0" b="0"/>
                  <wp:docPr id="10" name="Picture 1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tc>
      </w:tr>
    </w:tbl>
    <w:p w:rsidR="00126779" w:rsidRPr="007E2BF2" w:rsidRDefault="00126779" w:rsidP="00126779">
      <w:pPr>
        <w:rPr>
          <w:rFonts w:eastAsia="Calibri" w:cs="Calibri"/>
          <w:color w:val="000000"/>
          <w:szCs w:val="22"/>
        </w:rPr>
      </w:pPr>
    </w:p>
    <w:p w:rsidR="00126779" w:rsidRPr="001C00AD" w:rsidRDefault="00126779" w:rsidP="00126779">
      <w:pPr>
        <w:numPr>
          <w:ilvl w:val="0"/>
          <w:numId w:val="2"/>
        </w:numPr>
        <w:spacing w:after="200" w:line="276" w:lineRule="auto"/>
        <w:ind w:left="567" w:hanging="567"/>
        <w:jc w:val="both"/>
        <w:rPr>
          <w:rFonts w:eastAsia="Calibri" w:cs="Times New Roman"/>
          <w:szCs w:val="22"/>
        </w:rPr>
      </w:pPr>
      <w:r w:rsidRPr="001C00AD">
        <w:rPr>
          <w:rFonts w:eastAsia="Calibri" w:cs="Times New Roman"/>
          <w:szCs w:val="22"/>
        </w:rPr>
        <w:lastRenderedPageBreak/>
        <w:t>The Core Strategy aims to focus land uses that attract a large number of people (such as retail) in the city centre, primary district centre, four other district centres and neighbourhood centres. These are highly accessible locations, reducing the need to travel by car. This also encourages the reuse of previously developed land and helps to maintain the vitality of Oxford’s centres.</w:t>
      </w:r>
      <w:r w:rsidRPr="001C00AD">
        <w:rPr>
          <w:rFonts w:eastAsia="Calibri" w:cs="Calibri"/>
          <w:szCs w:val="22"/>
        </w:rPr>
        <w:t xml:space="preserve"> Table 5 outlines planning permissions granted for new A1 retail development in 2017/18 and whether they complied with the locational requirements of Policy CS31.</w:t>
      </w: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493"/>
        <w:gridCol w:w="1583"/>
        <w:gridCol w:w="1001"/>
        <w:gridCol w:w="1694"/>
        <w:gridCol w:w="1438"/>
        <w:gridCol w:w="2033"/>
      </w:tblGrid>
      <w:tr w:rsidR="00126779" w:rsidRPr="00EC60C1" w:rsidTr="00126779">
        <w:tc>
          <w:tcPr>
            <w:tcW w:w="1493" w:type="dxa"/>
            <w:shd w:val="clear" w:color="auto" w:fill="DBE5F1" w:themeFill="accent1" w:themeFillTint="33"/>
            <w:vAlign w:val="center"/>
          </w:tcPr>
          <w:p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Application Reference</w:t>
            </w:r>
          </w:p>
        </w:tc>
        <w:tc>
          <w:tcPr>
            <w:tcW w:w="1583" w:type="dxa"/>
            <w:shd w:val="clear" w:color="auto" w:fill="DBE5F1" w:themeFill="accent1" w:themeFillTint="33"/>
            <w:vAlign w:val="center"/>
          </w:tcPr>
          <w:p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Site</w:t>
            </w:r>
          </w:p>
        </w:tc>
        <w:tc>
          <w:tcPr>
            <w:tcW w:w="2695" w:type="dxa"/>
            <w:gridSpan w:val="2"/>
            <w:shd w:val="clear" w:color="auto" w:fill="DBE5F1" w:themeFill="accent1" w:themeFillTint="33"/>
            <w:vAlign w:val="center"/>
          </w:tcPr>
          <w:p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Proposed Retail Development</w:t>
            </w:r>
          </w:p>
        </w:tc>
        <w:tc>
          <w:tcPr>
            <w:tcW w:w="1438" w:type="dxa"/>
            <w:shd w:val="clear" w:color="auto" w:fill="DBE5F1" w:themeFill="accent1" w:themeFillTint="33"/>
            <w:vAlign w:val="center"/>
          </w:tcPr>
          <w:p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 xml:space="preserve">Net Additional A1 </w:t>
            </w:r>
            <w:proofErr w:type="spellStart"/>
            <w:r w:rsidRPr="0068106A">
              <w:rPr>
                <w:rFonts w:asciiTheme="minorHAnsi" w:hAnsiTheme="minorHAnsi" w:cstheme="minorHAnsi"/>
                <w:b/>
                <w:sz w:val="20"/>
              </w:rPr>
              <w:t>floorspace</w:t>
            </w:r>
            <w:proofErr w:type="spellEnd"/>
          </w:p>
          <w:p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(GIA)</w:t>
            </w:r>
          </w:p>
        </w:tc>
        <w:tc>
          <w:tcPr>
            <w:tcW w:w="2033" w:type="dxa"/>
            <w:shd w:val="clear" w:color="auto" w:fill="DBE5F1" w:themeFill="accent1" w:themeFillTint="33"/>
            <w:vAlign w:val="center"/>
          </w:tcPr>
          <w:p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Within the six areas of Oxford’s retail hierarchy?</w:t>
            </w:r>
          </w:p>
        </w:tc>
      </w:tr>
      <w:tr w:rsidR="00126779" w:rsidRPr="00EC60C1" w:rsidTr="00126779">
        <w:tc>
          <w:tcPr>
            <w:tcW w:w="1493" w:type="dxa"/>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17/03142/FUL</w:t>
            </w:r>
          </w:p>
        </w:tc>
        <w:tc>
          <w:tcPr>
            <w:tcW w:w="1583" w:type="dxa"/>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295-301 London Road</w:t>
            </w:r>
          </w:p>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Headington</w:t>
            </w:r>
          </w:p>
        </w:tc>
        <w:tc>
          <w:tcPr>
            <w:tcW w:w="2695" w:type="dxa"/>
            <w:gridSpan w:val="2"/>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Conversion of existing offices into two shops.</w:t>
            </w:r>
          </w:p>
        </w:tc>
        <w:tc>
          <w:tcPr>
            <w:tcW w:w="1438" w:type="dxa"/>
            <w:shd w:val="clear" w:color="auto" w:fill="FFFFFF" w:themeFill="background1"/>
          </w:tcPr>
          <w:p w:rsidR="00126779" w:rsidRPr="0068106A" w:rsidRDefault="00126779" w:rsidP="00126779">
            <w:pPr>
              <w:jc w:val="center"/>
              <w:rPr>
                <w:rFonts w:asciiTheme="minorHAnsi" w:hAnsiTheme="minorHAnsi" w:cstheme="minorHAnsi"/>
                <w:sz w:val="20"/>
                <w:szCs w:val="20"/>
                <w:vertAlign w:val="superscript"/>
              </w:rPr>
            </w:pPr>
            <w:r w:rsidRPr="0068106A">
              <w:rPr>
                <w:rFonts w:asciiTheme="minorHAnsi" w:hAnsiTheme="minorHAnsi" w:cstheme="minorHAnsi"/>
                <w:sz w:val="20"/>
                <w:szCs w:val="20"/>
              </w:rPr>
              <w:t>127m</w:t>
            </w:r>
            <w:r w:rsidRPr="0068106A">
              <w:rPr>
                <w:rFonts w:asciiTheme="minorHAnsi" w:hAnsiTheme="minorHAnsi" w:cstheme="minorHAnsi"/>
                <w:sz w:val="20"/>
                <w:szCs w:val="20"/>
                <w:vertAlign w:val="superscript"/>
              </w:rPr>
              <w:t>2</w:t>
            </w:r>
          </w:p>
        </w:tc>
        <w:tc>
          <w:tcPr>
            <w:tcW w:w="2033" w:type="dxa"/>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b/>
                <w:sz w:val="20"/>
              </w:rPr>
              <w:t>Not located within the retail hierarchy</w:t>
            </w:r>
            <w:r w:rsidRPr="0068106A">
              <w:rPr>
                <w:rFonts w:asciiTheme="minorHAnsi" w:hAnsiTheme="minorHAnsi" w:cstheme="minorHAnsi"/>
                <w:sz w:val="20"/>
                <w:szCs w:val="20"/>
              </w:rPr>
              <w:t xml:space="preserve"> </w:t>
            </w:r>
          </w:p>
          <w:p w:rsidR="00126779" w:rsidRPr="0068106A" w:rsidRDefault="00126779" w:rsidP="00126779">
            <w:pPr>
              <w:rPr>
                <w:rFonts w:asciiTheme="minorHAnsi" w:hAnsiTheme="minorHAnsi" w:cstheme="minorHAnsi"/>
                <w:sz w:val="20"/>
                <w:szCs w:val="20"/>
              </w:rPr>
            </w:pPr>
          </w:p>
        </w:tc>
      </w:tr>
      <w:tr w:rsidR="00126779" w:rsidRPr="00EC60C1" w:rsidTr="00126779">
        <w:tc>
          <w:tcPr>
            <w:tcW w:w="149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17/02887/FUL</w:t>
            </w:r>
          </w:p>
        </w:tc>
        <w:tc>
          <w:tcPr>
            <w:tcW w:w="158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Albion House</w:t>
            </w:r>
          </w:p>
          <w:p w:rsidR="00126779" w:rsidRPr="0068106A" w:rsidRDefault="00126779" w:rsidP="00126779">
            <w:pPr>
              <w:rPr>
                <w:rFonts w:asciiTheme="minorHAnsi" w:hAnsiTheme="minorHAnsi" w:cstheme="minorHAnsi"/>
                <w:sz w:val="20"/>
                <w:szCs w:val="20"/>
              </w:rPr>
            </w:pPr>
            <w:proofErr w:type="spellStart"/>
            <w:r w:rsidRPr="0068106A">
              <w:rPr>
                <w:rFonts w:asciiTheme="minorHAnsi" w:hAnsiTheme="minorHAnsi" w:cstheme="minorHAnsi"/>
                <w:sz w:val="20"/>
                <w:szCs w:val="20"/>
              </w:rPr>
              <w:t>Littlegate</w:t>
            </w:r>
            <w:proofErr w:type="spellEnd"/>
            <w:r w:rsidRPr="0068106A">
              <w:rPr>
                <w:rFonts w:asciiTheme="minorHAnsi" w:hAnsiTheme="minorHAnsi" w:cstheme="minorHAnsi"/>
                <w:sz w:val="20"/>
                <w:szCs w:val="20"/>
              </w:rPr>
              <w:t xml:space="preserve"> Street</w:t>
            </w:r>
          </w:p>
        </w:tc>
        <w:tc>
          <w:tcPr>
            <w:tcW w:w="2695" w:type="dxa"/>
            <w:gridSpan w:val="2"/>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Change of use from marketing suite (Use Class B1) to retail shop (Use Class A1).</w:t>
            </w:r>
          </w:p>
        </w:tc>
        <w:tc>
          <w:tcPr>
            <w:tcW w:w="1438" w:type="dxa"/>
            <w:shd w:val="clear" w:color="auto" w:fill="FFFFFF" w:themeFill="background1"/>
          </w:tcPr>
          <w:p w:rsidR="00126779" w:rsidRPr="0068106A" w:rsidRDefault="00126779" w:rsidP="00126779">
            <w:pPr>
              <w:jc w:val="center"/>
              <w:rPr>
                <w:rFonts w:asciiTheme="minorHAnsi" w:hAnsiTheme="minorHAnsi" w:cstheme="minorHAnsi"/>
                <w:sz w:val="20"/>
                <w:szCs w:val="20"/>
                <w:vertAlign w:val="superscript"/>
              </w:rPr>
            </w:pPr>
            <w:r w:rsidRPr="0068106A">
              <w:rPr>
                <w:rFonts w:asciiTheme="minorHAnsi" w:hAnsiTheme="minorHAnsi" w:cstheme="minorHAnsi"/>
                <w:sz w:val="20"/>
                <w:szCs w:val="20"/>
              </w:rPr>
              <w:t>324m</w:t>
            </w:r>
            <w:r w:rsidRPr="0068106A">
              <w:rPr>
                <w:rFonts w:asciiTheme="minorHAnsi" w:hAnsiTheme="minorHAnsi" w:cstheme="minorHAnsi"/>
                <w:sz w:val="20"/>
                <w:szCs w:val="20"/>
                <w:vertAlign w:val="superscript"/>
              </w:rPr>
              <w:t>2</w:t>
            </w:r>
          </w:p>
        </w:tc>
        <w:tc>
          <w:tcPr>
            <w:tcW w:w="2033" w:type="dxa"/>
            <w:shd w:val="clear" w:color="auto" w:fill="FFFFFF" w:themeFill="background1"/>
          </w:tcPr>
          <w:p w:rsidR="00126779" w:rsidRDefault="00126779" w:rsidP="00126779">
            <w:pPr>
              <w:rPr>
                <w:rFonts w:asciiTheme="minorHAnsi" w:hAnsiTheme="minorHAnsi" w:cstheme="minorHAnsi"/>
                <w:sz w:val="20"/>
                <w:szCs w:val="20"/>
              </w:rPr>
            </w:pPr>
            <w:r w:rsidRPr="0068106A">
              <w:rPr>
                <w:rFonts w:asciiTheme="minorHAnsi" w:hAnsiTheme="minorHAnsi" w:cstheme="minorHAnsi"/>
                <w:b/>
                <w:sz w:val="20"/>
              </w:rPr>
              <w:t>Not located within the retail hierarchy</w:t>
            </w:r>
            <w:r w:rsidRPr="0068106A">
              <w:rPr>
                <w:rFonts w:asciiTheme="minorHAnsi" w:hAnsiTheme="minorHAnsi" w:cstheme="minorHAnsi"/>
                <w:sz w:val="20"/>
                <w:szCs w:val="20"/>
              </w:rPr>
              <w:t xml:space="preserve"> </w:t>
            </w:r>
          </w:p>
          <w:p w:rsidR="00305C47" w:rsidRPr="0068106A" w:rsidRDefault="00305C47" w:rsidP="00126779">
            <w:pPr>
              <w:rPr>
                <w:rFonts w:asciiTheme="minorHAnsi" w:hAnsiTheme="minorHAnsi" w:cstheme="minorHAnsi"/>
                <w:sz w:val="20"/>
                <w:szCs w:val="20"/>
              </w:rPr>
            </w:pPr>
            <w:r>
              <w:rPr>
                <w:rFonts w:asciiTheme="minorHAnsi" w:hAnsiTheme="minorHAnsi" w:cstheme="minorHAnsi"/>
                <w:sz w:val="20"/>
                <w:szCs w:val="20"/>
              </w:rPr>
              <w:t xml:space="preserve">The proposal lies just outside the main shopping area and is within the City Centre commercial area. </w:t>
            </w:r>
          </w:p>
          <w:p w:rsidR="00126779" w:rsidRPr="0068106A" w:rsidRDefault="00126779" w:rsidP="00126779">
            <w:pPr>
              <w:rPr>
                <w:rFonts w:asciiTheme="minorHAnsi" w:hAnsiTheme="minorHAnsi" w:cstheme="minorHAnsi"/>
                <w:sz w:val="20"/>
                <w:szCs w:val="20"/>
              </w:rPr>
            </w:pPr>
          </w:p>
        </w:tc>
      </w:tr>
      <w:tr w:rsidR="00126779" w:rsidRPr="00EC60C1" w:rsidTr="00126779">
        <w:tc>
          <w:tcPr>
            <w:tcW w:w="149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16/01752/FUL</w:t>
            </w:r>
          </w:p>
        </w:tc>
        <w:tc>
          <w:tcPr>
            <w:tcW w:w="158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Land at Swan Motor Centre and to the East between Towns Road</w:t>
            </w:r>
          </w:p>
        </w:tc>
        <w:tc>
          <w:tcPr>
            <w:tcW w:w="2695" w:type="dxa"/>
            <w:gridSpan w:val="2"/>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Redevelopment of site to provide purpose built managed student accommodation comprising 144 study rooms, provision for one commercial unit, and provision of an on-site management suite, together with associated landscaping and infrastructure (amended plans).</w:t>
            </w:r>
          </w:p>
        </w:tc>
        <w:tc>
          <w:tcPr>
            <w:tcW w:w="1438" w:type="dxa"/>
            <w:shd w:val="clear" w:color="auto" w:fill="FFFFFF" w:themeFill="background1"/>
          </w:tcPr>
          <w:p w:rsidR="00126779" w:rsidRPr="0068106A" w:rsidRDefault="00126779" w:rsidP="00126779">
            <w:pPr>
              <w:jc w:val="center"/>
              <w:rPr>
                <w:rFonts w:asciiTheme="minorHAnsi" w:hAnsiTheme="minorHAnsi" w:cstheme="minorHAnsi"/>
                <w:sz w:val="20"/>
                <w:szCs w:val="20"/>
                <w:vertAlign w:val="superscript"/>
              </w:rPr>
            </w:pPr>
            <w:r w:rsidRPr="0068106A">
              <w:rPr>
                <w:rFonts w:asciiTheme="minorHAnsi" w:hAnsiTheme="minorHAnsi" w:cstheme="minorHAnsi"/>
                <w:sz w:val="20"/>
                <w:szCs w:val="20"/>
              </w:rPr>
              <w:t>67m</w:t>
            </w:r>
            <w:r w:rsidRPr="0068106A">
              <w:rPr>
                <w:rFonts w:asciiTheme="minorHAnsi" w:hAnsiTheme="minorHAnsi" w:cstheme="minorHAnsi"/>
                <w:sz w:val="20"/>
                <w:szCs w:val="20"/>
                <w:vertAlign w:val="superscript"/>
              </w:rPr>
              <w:t>2</w:t>
            </w:r>
          </w:p>
        </w:tc>
        <w:tc>
          <w:tcPr>
            <w:tcW w:w="2033" w:type="dxa"/>
            <w:shd w:val="clear" w:color="auto" w:fill="FFFFFF" w:themeFill="background1"/>
          </w:tcPr>
          <w:p w:rsidR="00126779" w:rsidRPr="0068106A" w:rsidRDefault="00421A3D" w:rsidP="00126779">
            <w:pPr>
              <w:rPr>
                <w:rFonts w:asciiTheme="minorHAnsi" w:hAnsiTheme="minorHAnsi" w:cstheme="minorHAnsi"/>
                <w:sz w:val="20"/>
                <w:szCs w:val="20"/>
              </w:rPr>
            </w:pPr>
            <w:r>
              <w:rPr>
                <w:rFonts w:asciiTheme="minorHAnsi" w:hAnsiTheme="minorHAnsi" w:cstheme="minorHAnsi"/>
                <w:b/>
                <w:sz w:val="20"/>
              </w:rPr>
              <w:t xml:space="preserve">Located within the retail hierarchy - Primary District Centre. </w:t>
            </w:r>
          </w:p>
          <w:p w:rsidR="00126779" w:rsidRPr="0068106A" w:rsidRDefault="00126779" w:rsidP="00126779">
            <w:pPr>
              <w:rPr>
                <w:rFonts w:asciiTheme="minorHAnsi" w:hAnsiTheme="minorHAnsi" w:cstheme="minorHAnsi"/>
                <w:sz w:val="20"/>
                <w:szCs w:val="20"/>
              </w:rPr>
            </w:pPr>
          </w:p>
        </w:tc>
      </w:tr>
      <w:tr w:rsidR="00126779" w:rsidRPr="00EC60C1" w:rsidTr="00126779">
        <w:tc>
          <w:tcPr>
            <w:tcW w:w="149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17/01576/FUL</w:t>
            </w:r>
          </w:p>
        </w:tc>
        <w:tc>
          <w:tcPr>
            <w:tcW w:w="158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 xml:space="preserve">1a </w:t>
            </w:r>
            <w:proofErr w:type="spellStart"/>
            <w:r w:rsidRPr="0068106A">
              <w:rPr>
                <w:rFonts w:asciiTheme="minorHAnsi" w:hAnsiTheme="minorHAnsi" w:cstheme="minorHAnsi"/>
                <w:sz w:val="20"/>
                <w:szCs w:val="20"/>
              </w:rPr>
              <w:t>Lamarsh</w:t>
            </w:r>
            <w:proofErr w:type="spellEnd"/>
            <w:r w:rsidRPr="0068106A">
              <w:rPr>
                <w:rFonts w:asciiTheme="minorHAnsi" w:hAnsiTheme="minorHAnsi" w:cstheme="minorHAnsi"/>
                <w:sz w:val="20"/>
                <w:szCs w:val="20"/>
              </w:rPr>
              <w:t xml:space="preserve"> Road</w:t>
            </w:r>
          </w:p>
        </w:tc>
        <w:tc>
          <w:tcPr>
            <w:tcW w:w="2695" w:type="dxa"/>
            <w:gridSpan w:val="2"/>
            <w:shd w:val="clear" w:color="auto" w:fill="FFFFFF" w:themeFill="background1"/>
          </w:tcPr>
          <w:p w:rsidR="00126779" w:rsidRPr="0068106A" w:rsidRDefault="00126779" w:rsidP="00126779">
            <w:pPr>
              <w:rPr>
                <w:rFonts w:cs="Calibri"/>
                <w:szCs w:val="22"/>
              </w:rPr>
            </w:pPr>
            <w:r w:rsidRPr="0068106A">
              <w:rPr>
                <w:rFonts w:cs="Calibri"/>
                <w:szCs w:val="22"/>
              </w:rPr>
              <w:t>Extension to existing retail unit at ground and mezzanine level and external alterations.</w:t>
            </w:r>
          </w:p>
          <w:p w:rsidR="00126779" w:rsidRPr="0068106A" w:rsidRDefault="00126779" w:rsidP="00126779">
            <w:pPr>
              <w:rPr>
                <w:rFonts w:asciiTheme="minorHAnsi" w:hAnsiTheme="minorHAnsi" w:cstheme="minorHAnsi"/>
                <w:sz w:val="20"/>
                <w:szCs w:val="20"/>
              </w:rPr>
            </w:pPr>
          </w:p>
        </w:tc>
        <w:tc>
          <w:tcPr>
            <w:tcW w:w="1438" w:type="dxa"/>
            <w:shd w:val="clear" w:color="auto" w:fill="FFFFFF" w:themeFill="background1"/>
          </w:tcPr>
          <w:p w:rsidR="00126779" w:rsidRPr="0068106A" w:rsidRDefault="00126779" w:rsidP="00126779">
            <w:pPr>
              <w:jc w:val="center"/>
              <w:rPr>
                <w:rFonts w:asciiTheme="minorHAnsi" w:hAnsiTheme="minorHAnsi" w:cstheme="minorHAnsi"/>
                <w:sz w:val="20"/>
                <w:szCs w:val="20"/>
              </w:rPr>
            </w:pPr>
            <w:r w:rsidRPr="0068106A">
              <w:rPr>
                <w:rFonts w:asciiTheme="minorHAnsi" w:hAnsiTheme="minorHAnsi" w:cstheme="minorHAnsi"/>
                <w:sz w:val="20"/>
                <w:szCs w:val="20"/>
              </w:rPr>
              <w:t>324m</w:t>
            </w:r>
            <w:r w:rsidRPr="0068106A">
              <w:rPr>
                <w:rFonts w:asciiTheme="minorHAnsi" w:hAnsiTheme="minorHAnsi" w:cstheme="minorHAnsi"/>
                <w:sz w:val="20"/>
                <w:szCs w:val="20"/>
                <w:vertAlign w:val="superscript"/>
              </w:rPr>
              <w:t>2</w:t>
            </w:r>
          </w:p>
        </w:tc>
        <w:tc>
          <w:tcPr>
            <w:tcW w:w="2033" w:type="dxa"/>
            <w:shd w:val="clear" w:color="auto" w:fill="FFFFFF" w:themeFill="background1"/>
          </w:tcPr>
          <w:p w:rsidR="00126779" w:rsidRPr="0068106A" w:rsidRDefault="00126779" w:rsidP="00126779">
            <w:pPr>
              <w:rPr>
                <w:rFonts w:asciiTheme="minorHAnsi" w:hAnsiTheme="minorHAnsi" w:cstheme="minorHAnsi"/>
                <w:b/>
                <w:sz w:val="20"/>
              </w:rPr>
            </w:pPr>
            <w:r w:rsidRPr="0068106A">
              <w:rPr>
                <w:rFonts w:asciiTheme="minorHAnsi" w:hAnsiTheme="minorHAnsi" w:cstheme="minorHAnsi"/>
                <w:b/>
                <w:sz w:val="20"/>
              </w:rPr>
              <w:t>Not located within the retail hierarchy</w:t>
            </w:r>
          </w:p>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rPr>
              <w:t xml:space="preserve">The proposal involves an extension to an existing retail park. </w:t>
            </w:r>
            <w:r w:rsidRPr="0068106A">
              <w:rPr>
                <w:rFonts w:asciiTheme="minorHAnsi" w:hAnsiTheme="minorHAnsi" w:cstheme="minorHAnsi"/>
                <w:sz w:val="20"/>
                <w:szCs w:val="20"/>
              </w:rPr>
              <w:t xml:space="preserve"> </w:t>
            </w:r>
          </w:p>
          <w:p w:rsidR="00126779" w:rsidRPr="0068106A" w:rsidRDefault="00126779" w:rsidP="00126779">
            <w:pPr>
              <w:rPr>
                <w:rFonts w:asciiTheme="minorHAnsi" w:hAnsiTheme="minorHAnsi" w:cstheme="minorHAnsi"/>
                <w:sz w:val="20"/>
                <w:szCs w:val="20"/>
              </w:rPr>
            </w:pPr>
          </w:p>
        </w:tc>
      </w:tr>
      <w:tr w:rsidR="00126779" w:rsidRPr="00EC60C1" w:rsidTr="00126779">
        <w:tc>
          <w:tcPr>
            <w:tcW w:w="149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16/00882/FUL</w:t>
            </w:r>
          </w:p>
        </w:tc>
        <w:tc>
          <w:tcPr>
            <w:tcW w:w="158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 xml:space="preserve">135-137 </w:t>
            </w:r>
            <w:proofErr w:type="spellStart"/>
            <w:r w:rsidRPr="0068106A">
              <w:rPr>
                <w:rFonts w:asciiTheme="minorHAnsi" w:hAnsiTheme="minorHAnsi" w:cstheme="minorHAnsi"/>
                <w:sz w:val="20"/>
                <w:szCs w:val="20"/>
              </w:rPr>
              <w:t>Botley</w:t>
            </w:r>
            <w:proofErr w:type="spellEnd"/>
            <w:r w:rsidRPr="0068106A">
              <w:rPr>
                <w:rFonts w:asciiTheme="minorHAnsi" w:hAnsiTheme="minorHAnsi" w:cstheme="minorHAnsi"/>
                <w:sz w:val="20"/>
                <w:szCs w:val="20"/>
              </w:rPr>
              <w:t xml:space="preserve"> Road</w:t>
            </w:r>
          </w:p>
        </w:tc>
        <w:tc>
          <w:tcPr>
            <w:tcW w:w="2695" w:type="dxa"/>
            <w:gridSpan w:val="2"/>
            <w:shd w:val="clear" w:color="auto" w:fill="FFFFFF" w:themeFill="background1"/>
          </w:tcPr>
          <w:p w:rsidR="00126779" w:rsidRPr="0068106A" w:rsidRDefault="00126779" w:rsidP="00126779">
            <w:pPr>
              <w:rPr>
                <w:rFonts w:cs="Calibri"/>
                <w:szCs w:val="22"/>
              </w:rPr>
            </w:pPr>
            <w:r w:rsidRPr="0068106A">
              <w:rPr>
                <w:rFonts w:cs="Calibri"/>
                <w:szCs w:val="22"/>
              </w:rPr>
              <w:t>Erection of a two storey retail unit (Use Class A1) and reconfiguration of existing car park.</w:t>
            </w:r>
          </w:p>
          <w:p w:rsidR="00126779" w:rsidRPr="0068106A" w:rsidRDefault="00126779" w:rsidP="00126779">
            <w:pPr>
              <w:rPr>
                <w:rFonts w:asciiTheme="minorHAnsi" w:hAnsiTheme="minorHAnsi" w:cstheme="minorHAnsi"/>
                <w:sz w:val="20"/>
                <w:szCs w:val="20"/>
              </w:rPr>
            </w:pPr>
          </w:p>
        </w:tc>
        <w:tc>
          <w:tcPr>
            <w:tcW w:w="1438" w:type="dxa"/>
            <w:shd w:val="clear" w:color="auto" w:fill="FFFFFF" w:themeFill="background1"/>
          </w:tcPr>
          <w:p w:rsidR="00126779" w:rsidRPr="0068106A" w:rsidRDefault="00126779" w:rsidP="00126779">
            <w:pPr>
              <w:jc w:val="center"/>
              <w:rPr>
                <w:rFonts w:asciiTheme="minorHAnsi" w:hAnsiTheme="minorHAnsi" w:cstheme="minorHAnsi"/>
                <w:sz w:val="20"/>
                <w:szCs w:val="20"/>
              </w:rPr>
            </w:pPr>
            <w:r w:rsidRPr="0068106A">
              <w:rPr>
                <w:rFonts w:asciiTheme="minorHAnsi" w:hAnsiTheme="minorHAnsi" w:cstheme="minorHAnsi"/>
                <w:sz w:val="20"/>
                <w:szCs w:val="20"/>
              </w:rPr>
              <w:t>359m</w:t>
            </w:r>
            <w:r w:rsidRPr="0068106A">
              <w:rPr>
                <w:rFonts w:asciiTheme="minorHAnsi" w:hAnsiTheme="minorHAnsi" w:cstheme="minorHAnsi"/>
                <w:sz w:val="20"/>
                <w:szCs w:val="20"/>
                <w:vertAlign w:val="superscript"/>
              </w:rPr>
              <w:t>2</w:t>
            </w:r>
          </w:p>
        </w:tc>
        <w:tc>
          <w:tcPr>
            <w:tcW w:w="2033" w:type="dxa"/>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b/>
                <w:sz w:val="20"/>
              </w:rPr>
              <w:t>Not located within the retail hierarchy</w:t>
            </w:r>
            <w:r w:rsidRPr="0068106A">
              <w:rPr>
                <w:rFonts w:asciiTheme="minorHAnsi" w:hAnsiTheme="minorHAnsi" w:cstheme="minorHAnsi"/>
                <w:sz w:val="20"/>
                <w:szCs w:val="20"/>
              </w:rPr>
              <w:t xml:space="preserve"> </w:t>
            </w:r>
          </w:p>
          <w:p w:rsidR="00305C47" w:rsidRPr="0068106A" w:rsidRDefault="00126779" w:rsidP="00305C47">
            <w:pPr>
              <w:rPr>
                <w:rFonts w:asciiTheme="minorHAnsi" w:hAnsiTheme="minorHAnsi" w:cstheme="minorHAnsi"/>
                <w:sz w:val="20"/>
                <w:szCs w:val="20"/>
              </w:rPr>
            </w:pPr>
            <w:r w:rsidRPr="0068106A">
              <w:rPr>
                <w:rFonts w:asciiTheme="minorHAnsi" w:hAnsiTheme="minorHAnsi" w:cstheme="minorHAnsi"/>
                <w:sz w:val="20"/>
                <w:szCs w:val="20"/>
              </w:rPr>
              <w:t>The proposal involves p</w:t>
            </w:r>
            <w:r w:rsidR="00305C47">
              <w:rPr>
                <w:rFonts w:asciiTheme="minorHAnsi" w:hAnsiTheme="minorHAnsi" w:cstheme="minorHAnsi"/>
                <w:sz w:val="20"/>
                <w:szCs w:val="20"/>
              </w:rPr>
              <w:t xml:space="preserve">rovision of a new bicycle shop. </w:t>
            </w:r>
            <w:r w:rsidR="00305C47" w:rsidRPr="0068106A">
              <w:rPr>
                <w:rFonts w:asciiTheme="minorHAnsi" w:hAnsiTheme="minorHAnsi" w:cstheme="minorHAnsi"/>
                <w:sz w:val="20"/>
              </w:rPr>
              <w:t xml:space="preserve">The proposal involves an extension to an existing retail park. </w:t>
            </w:r>
            <w:r w:rsidR="00305C47" w:rsidRPr="0068106A">
              <w:rPr>
                <w:rFonts w:asciiTheme="minorHAnsi" w:hAnsiTheme="minorHAnsi" w:cstheme="minorHAnsi"/>
                <w:sz w:val="20"/>
                <w:szCs w:val="20"/>
              </w:rPr>
              <w:t xml:space="preserve"> </w:t>
            </w:r>
          </w:p>
          <w:p w:rsidR="00126779" w:rsidRPr="0068106A" w:rsidRDefault="00126779" w:rsidP="00126779">
            <w:pPr>
              <w:rPr>
                <w:rFonts w:asciiTheme="minorHAnsi" w:hAnsiTheme="minorHAnsi" w:cstheme="minorHAnsi"/>
                <w:sz w:val="20"/>
                <w:szCs w:val="20"/>
              </w:rPr>
            </w:pPr>
          </w:p>
        </w:tc>
      </w:tr>
      <w:tr w:rsidR="00126779" w:rsidRPr="00EC60C1" w:rsidTr="00126779">
        <w:tc>
          <w:tcPr>
            <w:tcW w:w="149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17/00476/FUL</w:t>
            </w:r>
          </w:p>
        </w:tc>
        <w:tc>
          <w:tcPr>
            <w:tcW w:w="1583" w:type="dxa"/>
            <w:tcBorders>
              <w:bottom w:val="single" w:sz="4" w:space="0" w:color="215868" w:themeColor="accent5" w:themeShade="80"/>
            </w:tcBorders>
            <w:shd w:val="clear" w:color="auto" w:fill="FFFFFF" w:themeFill="background1"/>
          </w:tcPr>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278-280 Banbury Road</w:t>
            </w:r>
          </w:p>
          <w:p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Summertown</w:t>
            </w:r>
          </w:p>
        </w:tc>
        <w:tc>
          <w:tcPr>
            <w:tcW w:w="2695" w:type="dxa"/>
            <w:gridSpan w:val="2"/>
            <w:shd w:val="clear" w:color="auto" w:fill="FFFFFF" w:themeFill="background1"/>
          </w:tcPr>
          <w:p w:rsidR="00126779" w:rsidRPr="0068106A" w:rsidRDefault="00126779" w:rsidP="00126779">
            <w:pPr>
              <w:rPr>
                <w:rFonts w:cs="Calibri"/>
                <w:szCs w:val="22"/>
              </w:rPr>
            </w:pPr>
            <w:r w:rsidRPr="0068106A">
              <w:rPr>
                <w:rFonts w:cs="Calibri"/>
                <w:szCs w:val="22"/>
              </w:rPr>
              <w:t xml:space="preserve">Demolition of existing building. Erection of two storey building to provide 4no. </w:t>
            </w:r>
            <w:proofErr w:type="gramStart"/>
            <w:r w:rsidRPr="0068106A">
              <w:rPr>
                <w:rFonts w:cs="Calibri"/>
                <w:szCs w:val="22"/>
              </w:rPr>
              <w:t>retail</w:t>
            </w:r>
            <w:proofErr w:type="gramEnd"/>
            <w:r w:rsidRPr="0068106A">
              <w:rPr>
                <w:rFonts w:cs="Calibri"/>
                <w:szCs w:val="22"/>
              </w:rPr>
              <w:t xml:space="preserve"> units (Use Class A1). Provision of car parking and bin and cycle </w:t>
            </w:r>
            <w:r w:rsidRPr="0068106A">
              <w:rPr>
                <w:rFonts w:cs="Calibri"/>
                <w:szCs w:val="22"/>
              </w:rPr>
              <w:lastRenderedPageBreak/>
              <w:t>stores</w:t>
            </w:r>
            <w:proofErr w:type="gramStart"/>
            <w:r w:rsidRPr="0068106A">
              <w:rPr>
                <w:rFonts w:cs="Calibri"/>
                <w:szCs w:val="22"/>
              </w:rPr>
              <w:t>.(</w:t>
            </w:r>
            <w:proofErr w:type="gramEnd"/>
            <w:r w:rsidRPr="0068106A">
              <w:rPr>
                <w:rFonts w:cs="Calibri"/>
                <w:szCs w:val="22"/>
              </w:rPr>
              <w:t>Amended plans).</w:t>
            </w:r>
          </w:p>
          <w:p w:rsidR="00126779" w:rsidRPr="0068106A" w:rsidRDefault="00126779" w:rsidP="00126779">
            <w:pPr>
              <w:rPr>
                <w:rFonts w:asciiTheme="minorHAnsi" w:hAnsiTheme="minorHAnsi" w:cstheme="minorHAnsi"/>
                <w:sz w:val="20"/>
                <w:szCs w:val="20"/>
              </w:rPr>
            </w:pPr>
          </w:p>
        </w:tc>
        <w:tc>
          <w:tcPr>
            <w:tcW w:w="1438" w:type="dxa"/>
            <w:shd w:val="clear" w:color="auto" w:fill="FFFFFF" w:themeFill="background1"/>
          </w:tcPr>
          <w:p w:rsidR="00126779" w:rsidRPr="0068106A" w:rsidRDefault="00126779" w:rsidP="00126779">
            <w:pPr>
              <w:jc w:val="center"/>
              <w:rPr>
                <w:rFonts w:asciiTheme="minorHAnsi" w:hAnsiTheme="minorHAnsi" w:cstheme="minorHAnsi"/>
                <w:sz w:val="20"/>
                <w:szCs w:val="20"/>
              </w:rPr>
            </w:pPr>
            <w:r w:rsidRPr="0068106A">
              <w:rPr>
                <w:rFonts w:asciiTheme="minorHAnsi" w:hAnsiTheme="minorHAnsi" w:cstheme="minorHAnsi"/>
                <w:sz w:val="20"/>
                <w:szCs w:val="20"/>
              </w:rPr>
              <w:lastRenderedPageBreak/>
              <w:t>285m</w:t>
            </w:r>
            <w:r w:rsidRPr="0068106A">
              <w:rPr>
                <w:rFonts w:asciiTheme="minorHAnsi" w:hAnsiTheme="minorHAnsi" w:cstheme="minorHAnsi"/>
                <w:sz w:val="20"/>
                <w:szCs w:val="20"/>
                <w:vertAlign w:val="superscript"/>
              </w:rPr>
              <w:t>2</w:t>
            </w:r>
          </w:p>
        </w:tc>
        <w:tc>
          <w:tcPr>
            <w:tcW w:w="2033" w:type="dxa"/>
            <w:shd w:val="clear" w:color="auto" w:fill="FFFFFF" w:themeFill="background1"/>
          </w:tcPr>
          <w:p w:rsidR="00126779" w:rsidRPr="0068106A" w:rsidRDefault="00126779" w:rsidP="00126779">
            <w:pPr>
              <w:rPr>
                <w:rFonts w:asciiTheme="minorHAnsi" w:hAnsiTheme="minorHAnsi" w:cstheme="minorHAnsi"/>
                <w:b/>
                <w:sz w:val="20"/>
                <w:szCs w:val="20"/>
              </w:rPr>
            </w:pPr>
            <w:r w:rsidRPr="0068106A">
              <w:rPr>
                <w:rFonts w:asciiTheme="minorHAnsi" w:hAnsiTheme="minorHAnsi" w:cstheme="minorHAnsi"/>
                <w:b/>
                <w:sz w:val="20"/>
                <w:szCs w:val="20"/>
              </w:rPr>
              <w:t>Located within the retail hierarchy – Summertown district centre</w:t>
            </w:r>
          </w:p>
        </w:tc>
      </w:tr>
      <w:tr w:rsidR="00126779" w:rsidRPr="00881B27" w:rsidTr="00126779">
        <w:tc>
          <w:tcPr>
            <w:tcW w:w="4077" w:type="dxa"/>
            <w:gridSpan w:val="3"/>
            <w:tcBorders>
              <w:left w:val="nil"/>
              <w:bottom w:val="nil"/>
            </w:tcBorders>
            <w:shd w:val="clear" w:color="auto" w:fill="FFFFFF" w:themeFill="background1"/>
          </w:tcPr>
          <w:p w:rsidR="00126779" w:rsidRPr="00881B27" w:rsidRDefault="00126779" w:rsidP="00126779">
            <w:pPr>
              <w:rPr>
                <w:rFonts w:asciiTheme="minorHAnsi" w:hAnsiTheme="minorHAnsi" w:cstheme="minorHAnsi"/>
                <w:sz w:val="20"/>
                <w:szCs w:val="20"/>
              </w:rPr>
            </w:pPr>
          </w:p>
        </w:tc>
        <w:tc>
          <w:tcPr>
            <w:tcW w:w="1694" w:type="dxa"/>
            <w:shd w:val="clear" w:color="auto" w:fill="DBE5F1" w:themeFill="accent1" w:themeFillTint="33"/>
          </w:tcPr>
          <w:p w:rsidR="00126779" w:rsidRPr="00881B27" w:rsidRDefault="00126779" w:rsidP="00126779">
            <w:pPr>
              <w:jc w:val="center"/>
              <w:rPr>
                <w:rFonts w:asciiTheme="minorHAnsi" w:hAnsiTheme="minorHAnsi" w:cstheme="minorHAnsi"/>
                <w:b/>
                <w:sz w:val="20"/>
                <w:szCs w:val="20"/>
              </w:rPr>
            </w:pPr>
            <w:r w:rsidRPr="00881B27">
              <w:rPr>
                <w:rFonts w:asciiTheme="minorHAnsi" w:hAnsiTheme="minorHAnsi" w:cstheme="minorHAnsi"/>
                <w:b/>
                <w:sz w:val="20"/>
                <w:szCs w:val="20"/>
              </w:rPr>
              <w:t>Total:</w:t>
            </w:r>
          </w:p>
        </w:tc>
        <w:tc>
          <w:tcPr>
            <w:tcW w:w="3471" w:type="dxa"/>
            <w:gridSpan w:val="2"/>
            <w:shd w:val="clear" w:color="auto" w:fill="DBE5F1" w:themeFill="accent1" w:themeFillTint="33"/>
          </w:tcPr>
          <w:p w:rsidR="00126779" w:rsidRPr="00881B27" w:rsidRDefault="00126779" w:rsidP="00126779">
            <w:pPr>
              <w:ind w:left="183"/>
              <w:jc w:val="center"/>
              <w:rPr>
                <w:rFonts w:asciiTheme="minorHAnsi" w:hAnsiTheme="minorHAnsi" w:cstheme="minorHAnsi"/>
                <w:b/>
                <w:sz w:val="20"/>
                <w:szCs w:val="20"/>
                <w:vertAlign w:val="superscript"/>
              </w:rPr>
            </w:pPr>
            <w:r w:rsidRPr="00881B27">
              <w:rPr>
                <w:rFonts w:asciiTheme="minorHAnsi" w:hAnsiTheme="minorHAnsi" w:cstheme="minorHAnsi"/>
                <w:b/>
                <w:sz w:val="20"/>
                <w:szCs w:val="20"/>
              </w:rPr>
              <w:t>1</w:t>
            </w:r>
            <w:r w:rsidR="00E6564F">
              <w:rPr>
                <w:rFonts w:asciiTheme="minorHAnsi" w:hAnsiTheme="minorHAnsi" w:cstheme="minorHAnsi"/>
                <w:b/>
                <w:sz w:val="20"/>
                <w:szCs w:val="20"/>
              </w:rPr>
              <w:t>,</w:t>
            </w:r>
            <w:r w:rsidRPr="00881B27">
              <w:rPr>
                <w:rFonts w:asciiTheme="minorHAnsi" w:hAnsiTheme="minorHAnsi" w:cstheme="minorHAnsi"/>
                <w:b/>
                <w:sz w:val="20"/>
                <w:szCs w:val="20"/>
              </w:rPr>
              <w:t>486m</w:t>
            </w:r>
            <w:r w:rsidRPr="00881B27">
              <w:rPr>
                <w:rFonts w:asciiTheme="minorHAnsi" w:hAnsiTheme="minorHAnsi" w:cstheme="minorHAnsi"/>
                <w:b/>
                <w:sz w:val="20"/>
                <w:szCs w:val="20"/>
                <w:vertAlign w:val="superscript"/>
              </w:rPr>
              <w:t>2</w:t>
            </w:r>
            <w:r w:rsidRPr="00881B27">
              <w:rPr>
                <w:rFonts w:asciiTheme="minorHAnsi" w:hAnsiTheme="minorHAnsi" w:cstheme="minorHAnsi"/>
                <w:sz w:val="20"/>
                <w:szCs w:val="20"/>
                <w:vertAlign w:val="superscript"/>
              </w:rPr>
              <w:t xml:space="preserve">  </w:t>
            </w:r>
            <w:r w:rsidR="00EC3124">
              <w:rPr>
                <w:rFonts w:asciiTheme="minorHAnsi" w:hAnsiTheme="minorHAnsi" w:cstheme="minorHAnsi"/>
                <w:sz w:val="20"/>
                <w:szCs w:val="20"/>
              </w:rPr>
              <w:t>(24</w:t>
            </w:r>
            <w:r w:rsidRPr="00881B27">
              <w:rPr>
                <w:rFonts w:asciiTheme="minorHAnsi" w:hAnsiTheme="minorHAnsi" w:cstheme="minorHAnsi"/>
                <w:sz w:val="20"/>
                <w:szCs w:val="20"/>
              </w:rPr>
              <w:t>% located within city, district and neighbourhood centres)</w:t>
            </w:r>
          </w:p>
        </w:tc>
      </w:tr>
    </w:tbl>
    <w:p w:rsidR="00126779" w:rsidRPr="00881B27" w:rsidRDefault="00126779" w:rsidP="00126779">
      <w:pPr>
        <w:jc w:val="center"/>
        <w:rPr>
          <w:b/>
          <w:szCs w:val="20"/>
        </w:rPr>
      </w:pPr>
      <w:r w:rsidRPr="00881B27">
        <w:rPr>
          <w:rFonts w:cs="Calibri"/>
          <w:b/>
          <w:sz w:val="20"/>
          <w:szCs w:val="18"/>
        </w:rPr>
        <w:t xml:space="preserve">Table </w:t>
      </w:r>
      <w:r w:rsidRPr="00881B27">
        <w:rPr>
          <w:rFonts w:eastAsia="Calibri" w:cs="Calibri"/>
          <w:b/>
          <w:sz w:val="20"/>
          <w:szCs w:val="22"/>
        </w:rPr>
        <w:t>5</w:t>
      </w:r>
      <w:r w:rsidRPr="00881B27">
        <w:rPr>
          <w:rFonts w:cs="Calibri"/>
          <w:b/>
          <w:sz w:val="20"/>
          <w:szCs w:val="18"/>
        </w:rPr>
        <w:t>:</w:t>
      </w:r>
      <w:r w:rsidRPr="00881B27">
        <w:rPr>
          <w:rFonts w:eastAsia="Calibri" w:cs="Calibri"/>
          <w:b/>
          <w:sz w:val="20"/>
          <w:szCs w:val="18"/>
        </w:rPr>
        <w:t xml:space="preserve"> </w:t>
      </w:r>
      <w:r w:rsidRPr="00881B27">
        <w:rPr>
          <w:rFonts w:asciiTheme="minorHAnsi" w:hAnsiTheme="minorHAnsi" w:cstheme="minorHAnsi"/>
          <w:sz w:val="20"/>
          <w:szCs w:val="20"/>
        </w:rPr>
        <w:t xml:space="preserve">New A1 retail </w:t>
      </w:r>
      <w:proofErr w:type="spellStart"/>
      <w:r w:rsidRPr="00881B27">
        <w:rPr>
          <w:rFonts w:asciiTheme="minorHAnsi" w:hAnsiTheme="minorHAnsi" w:cstheme="minorHAnsi"/>
          <w:sz w:val="20"/>
          <w:szCs w:val="20"/>
        </w:rPr>
        <w:t>floorspace</w:t>
      </w:r>
      <w:proofErr w:type="spellEnd"/>
      <w:r w:rsidRPr="00881B27">
        <w:rPr>
          <w:rFonts w:asciiTheme="minorHAnsi" w:hAnsiTheme="minorHAnsi" w:cstheme="minorHAnsi"/>
          <w:sz w:val="20"/>
          <w:szCs w:val="20"/>
        </w:rPr>
        <w:t xml:space="preserve"> permitted in 2017/18</w:t>
      </w:r>
    </w:p>
    <w:p w:rsidR="00126779" w:rsidRPr="00EC60C1" w:rsidRDefault="00126779" w:rsidP="00126779">
      <w:pPr>
        <w:rPr>
          <w:b/>
          <w:color w:val="FF0000"/>
          <w:sz w:val="14"/>
          <w:szCs w:val="20"/>
        </w:rPr>
      </w:pPr>
    </w:p>
    <w:p w:rsidR="00126779" w:rsidRPr="001117F2" w:rsidRDefault="00126779" w:rsidP="00126779">
      <w:pPr>
        <w:numPr>
          <w:ilvl w:val="0"/>
          <w:numId w:val="2"/>
        </w:numPr>
        <w:spacing w:after="200" w:line="276" w:lineRule="auto"/>
        <w:ind w:left="567" w:hanging="567"/>
        <w:jc w:val="both"/>
        <w:rPr>
          <w:rFonts w:eastAsia="Calibri" w:cs="Times New Roman"/>
          <w:szCs w:val="22"/>
        </w:rPr>
      </w:pPr>
      <w:r w:rsidRPr="001117F2">
        <w:rPr>
          <w:rFonts w:eastAsia="Calibri" w:cs="Calibri"/>
          <w:szCs w:val="22"/>
        </w:rPr>
        <w:t xml:space="preserve">Table 5 shows that planning permission was granted for six developments that would result in new A1 retail </w:t>
      </w:r>
      <w:proofErr w:type="spellStart"/>
      <w:r w:rsidRPr="001117F2">
        <w:rPr>
          <w:rFonts w:eastAsia="Calibri" w:cs="Calibri"/>
          <w:szCs w:val="22"/>
        </w:rPr>
        <w:t>floorspace</w:t>
      </w:r>
      <w:proofErr w:type="spellEnd"/>
      <w:r w:rsidRPr="001117F2">
        <w:rPr>
          <w:rFonts w:eastAsia="Calibri" w:cs="Calibri"/>
          <w:szCs w:val="22"/>
        </w:rPr>
        <w:t xml:space="preserve"> totalling 1,486m</w:t>
      </w:r>
      <w:r w:rsidRPr="001117F2">
        <w:rPr>
          <w:rFonts w:eastAsia="Calibri" w:cs="Calibri"/>
          <w:szCs w:val="22"/>
          <w:vertAlign w:val="superscript"/>
        </w:rPr>
        <w:t>2</w:t>
      </w:r>
      <w:r w:rsidRPr="001117F2">
        <w:rPr>
          <w:rFonts w:eastAsia="Calibri" w:cs="Calibri"/>
          <w:szCs w:val="22"/>
        </w:rPr>
        <w:t xml:space="preserve"> </w:t>
      </w:r>
      <w:r w:rsidR="0086183F">
        <w:rPr>
          <w:rFonts w:eastAsia="Calibri" w:cs="Calibri"/>
          <w:szCs w:val="22"/>
        </w:rPr>
        <w:t>in 2017/18, if implemented. Four</w:t>
      </w:r>
      <w:r w:rsidRPr="001117F2">
        <w:rPr>
          <w:rFonts w:eastAsia="Calibri" w:cs="Calibri"/>
          <w:szCs w:val="22"/>
        </w:rPr>
        <w:t xml:space="preserve"> out of six of these applications were located on sites that do not fall within Oxford’s retail hierarchy and therefore did not comply with the locational requirem</w:t>
      </w:r>
      <w:r w:rsidR="0086183F">
        <w:rPr>
          <w:rFonts w:eastAsia="Calibri" w:cs="Calibri"/>
          <w:szCs w:val="22"/>
        </w:rPr>
        <w:t>ents of Policy CS31.  These four</w:t>
      </w:r>
      <w:r w:rsidRPr="001117F2">
        <w:rPr>
          <w:rFonts w:eastAsia="Calibri" w:cs="Calibri"/>
          <w:szCs w:val="22"/>
        </w:rPr>
        <w:t xml:space="preserve"> applications combined represent a total net i</w:t>
      </w:r>
      <w:r w:rsidR="0086183F">
        <w:rPr>
          <w:rFonts w:eastAsia="Calibri" w:cs="Calibri"/>
          <w:szCs w:val="22"/>
        </w:rPr>
        <w:t xml:space="preserve">ncrease in A1 </w:t>
      </w:r>
      <w:proofErr w:type="spellStart"/>
      <w:r w:rsidR="0086183F">
        <w:rPr>
          <w:rFonts w:eastAsia="Calibri" w:cs="Calibri"/>
          <w:szCs w:val="22"/>
        </w:rPr>
        <w:t>floorspace</w:t>
      </w:r>
      <w:proofErr w:type="spellEnd"/>
      <w:r w:rsidR="0086183F">
        <w:rPr>
          <w:rFonts w:eastAsia="Calibri" w:cs="Calibri"/>
          <w:szCs w:val="22"/>
        </w:rPr>
        <w:t xml:space="preserve"> of 1134</w:t>
      </w:r>
      <w:r w:rsidRPr="001117F2">
        <w:rPr>
          <w:rFonts w:eastAsia="Calibri" w:cs="Calibri"/>
          <w:szCs w:val="22"/>
        </w:rPr>
        <w:t>m</w:t>
      </w:r>
      <w:r w:rsidRPr="001117F2">
        <w:rPr>
          <w:rFonts w:eastAsia="Calibri" w:cs="Calibri"/>
          <w:szCs w:val="22"/>
          <w:vertAlign w:val="superscript"/>
        </w:rPr>
        <w:t>2</w:t>
      </w:r>
      <w:r w:rsidRPr="001117F2">
        <w:rPr>
          <w:rFonts w:eastAsia="Calibri" w:cs="Calibri"/>
          <w:szCs w:val="22"/>
        </w:rPr>
        <w:t xml:space="preserve"> which is fairly significant. There was one proposal for new retail </w:t>
      </w:r>
      <w:proofErr w:type="spellStart"/>
      <w:r w:rsidRPr="001117F2">
        <w:rPr>
          <w:rFonts w:eastAsia="Calibri" w:cs="Calibri"/>
          <w:szCs w:val="22"/>
        </w:rPr>
        <w:t>floorspace</w:t>
      </w:r>
      <w:proofErr w:type="spellEnd"/>
      <w:r w:rsidRPr="001117F2">
        <w:rPr>
          <w:rFonts w:eastAsia="Calibri" w:cs="Calibri"/>
          <w:szCs w:val="22"/>
        </w:rPr>
        <w:t xml:space="preserve"> within the Summertown district centre comprising 285m</w:t>
      </w:r>
      <w:r w:rsidRPr="001117F2">
        <w:rPr>
          <w:rFonts w:eastAsia="Calibri" w:cs="Calibri"/>
          <w:szCs w:val="22"/>
          <w:vertAlign w:val="superscript"/>
        </w:rPr>
        <w:t>2</w:t>
      </w:r>
      <w:r w:rsidRPr="001117F2">
        <w:rPr>
          <w:rFonts w:eastAsia="Calibri" w:cs="Calibri"/>
          <w:szCs w:val="22"/>
        </w:rPr>
        <w:t xml:space="preserve">, </w:t>
      </w:r>
      <w:r w:rsidR="00EC3124">
        <w:rPr>
          <w:rFonts w:eastAsia="Calibri" w:cs="Calibri"/>
          <w:szCs w:val="22"/>
        </w:rPr>
        <w:t>and one for 67</w:t>
      </w:r>
      <w:r w:rsidR="00EC3124" w:rsidRPr="001117F2">
        <w:rPr>
          <w:rFonts w:eastAsia="Calibri" w:cs="Calibri"/>
          <w:szCs w:val="22"/>
        </w:rPr>
        <w:t>m</w:t>
      </w:r>
      <w:r w:rsidR="00EC3124" w:rsidRPr="001117F2">
        <w:rPr>
          <w:rFonts w:eastAsia="Calibri" w:cs="Calibri"/>
          <w:szCs w:val="22"/>
          <w:vertAlign w:val="superscript"/>
        </w:rPr>
        <w:t>2</w:t>
      </w:r>
      <w:r w:rsidR="00EC3124">
        <w:rPr>
          <w:rFonts w:eastAsia="Calibri" w:cs="Calibri"/>
          <w:szCs w:val="22"/>
        </w:rPr>
        <w:t xml:space="preserve"> in a</w:t>
      </w:r>
      <w:r w:rsidR="0086183F">
        <w:rPr>
          <w:rFonts w:eastAsia="Calibri" w:cs="Calibri"/>
          <w:szCs w:val="22"/>
        </w:rPr>
        <w:t xml:space="preserve"> Primary District Centre </w:t>
      </w:r>
      <w:r w:rsidR="00EC3124">
        <w:rPr>
          <w:rFonts w:eastAsia="Calibri" w:cs="Calibri"/>
          <w:szCs w:val="22"/>
        </w:rPr>
        <w:t>however this only represents 24</w:t>
      </w:r>
      <w:r w:rsidRPr="001117F2">
        <w:rPr>
          <w:rFonts w:eastAsia="Calibri" w:cs="Calibri"/>
          <w:szCs w:val="22"/>
        </w:rPr>
        <w:t xml:space="preserve">% of gross new A1 </w:t>
      </w:r>
      <w:proofErr w:type="spellStart"/>
      <w:r w:rsidRPr="001117F2">
        <w:rPr>
          <w:rFonts w:eastAsia="Calibri" w:cs="Calibri"/>
          <w:szCs w:val="22"/>
        </w:rPr>
        <w:t>floorspace</w:t>
      </w:r>
      <w:proofErr w:type="spellEnd"/>
      <w:r w:rsidRPr="001117F2">
        <w:rPr>
          <w:rFonts w:eastAsia="Calibri" w:cs="Calibri"/>
          <w:szCs w:val="22"/>
        </w:rPr>
        <w:t xml:space="preserve"> approved in the 2017/18 monitoring year. This indicator is intended to help monitor whether developments which attract substantial numbers </w:t>
      </w:r>
      <w:r w:rsidR="00EC3124">
        <w:rPr>
          <w:rFonts w:eastAsia="Calibri" w:cs="Calibri"/>
          <w:szCs w:val="22"/>
        </w:rPr>
        <w:t xml:space="preserve">of people are suitably located. </w:t>
      </w:r>
      <w:r w:rsidR="00305C47">
        <w:rPr>
          <w:rFonts w:eastAsia="Calibri" w:cs="Calibri"/>
          <w:szCs w:val="22"/>
        </w:rPr>
        <w:t>In this case over 600m</w:t>
      </w:r>
      <w:r w:rsidR="00305C47">
        <w:rPr>
          <w:rFonts w:eastAsia="Calibri" w:cs="Calibri"/>
          <w:szCs w:val="22"/>
          <w:vertAlign w:val="superscript"/>
        </w:rPr>
        <w:t>2</w:t>
      </w:r>
      <w:r w:rsidR="00305C47">
        <w:rPr>
          <w:rFonts w:eastAsia="Calibri" w:cs="Calibri"/>
          <w:szCs w:val="22"/>
        </w:rPr>
        <w:t xml:space="preserve"> of the approved </w:t>
      </w:r>
      <w:proofErr w:type="spellStart"/>
      <w:r w:rsidR="00305C47">
        <w:rPr>
          <w:rFonts w:eastAsia="Calibri" w:cs="Calibri"/>
          <w:szCs w:val="22"/>
        </w:rPr>
        <w:t>floorspace</w:t>
      </w:r>
      <w:proofErr w:type="spellEnd"/>
      <w:r w:rsidR="00305C47">
        <w:rPr>
          <w:rFonts w:eastAsia="Calibri" w:cs="Calibri"/>
          <w:szCs w:val="22"/>
        </w:rPr>
        <w:t xml:space="preserve"> was for extensions to existing retail parks wh</w:t>
      </w:r>
      <w:r w:rsidR="00F84E50">
        <w:rPr>
          <w:rFonts w:eastAsia="Calibri" w:cs="Calibri"/>
          <w:szCs w:val="22"/>
        </w:rPr>
        <w:t>ich are unlikely to negatively impact</w:t>
      </w:r>
      <w:r w:rsidR="00305C47">
        <w:rPr>
          <w:rFonts w:eastAsia="Calibri" w:cs="Calibri"/>
          <w:szCs w:val="22"/>
        </w:rPr>
        <w:t xml:space="preserve"> the City’s centres. Another 324m</w:t>
      </w:r>
      <w:r w:rsidR="00305C47">
        <w:rPr>
          <w:rFonts w:eastAsia="Calibri" w:cs="Calibri"/>
          <w:szCs w:val="22"/>
          <w:vertAlign w:val="superscript"/>
        </w:rPr>
        <w:t>2</w:t>
      </w:r>
      <w:r w:rsidR="00305C47">
        <w:rPr>
          <w:rFonts w:eastAsia="Calibri" w:cs="Calibri"/>
          <w:szCs w:val="22"/>
        </w:rPr>
        <w:t xml:space="preserve"> </w:t>
      </w:r>
      <w:r w:rsidR="00F84E50">
        <w:rPr>
          <w:rFonts w:eastAsia="Calibri" w:cs="Calibri"/>
          <w:szCs w:val="22"/>
        </w:rPr>
        <w:t xml:space="preserve">of retail </w:t>
      </w:r>
      <w:proofErr w:type="spellStart"/>
      <w:r w:rsidR="00F84E50">
        <w:rPr>
          <w:rFonts w:eastAsia="Calibri" w:cs="Calibri"/>
          <w:szCs w:val="22"/>
        </w:rPr>
        <w:t>floorspace</w:t>
      </w:r>
      <w:proofErr w:type="spellEnd"/>
      <w:r w:rsidR="00F84E50">
        <w:rPr>
          <w:rFonts w:eastAsia="Calibri" w:cs="Calibri"/>
          <w:szCs w:val="22"/>
        </w:rPr>
        <w:t xml:space="preserve"> approved </w:t>
      </w:r>
      <w:r w:rsidR="00305C47">
        <w:rPr>
          <w:rFonts w:eastAsia="Calibri" w:cs="Calibri"/>
          <w:szCs w:val="22"/>
        </w:rPr>
        <w:t xml:space="preserve">lies just outside the main shopping area and is within the City Centre commercial area and on balance considering this and its previous use as a marketing suite for a now complete development, the proposal was considered acceptable. </w:t>
      </w:r>
      <w:r w:rsidR="00F84E50">
        <w:rPr>
          <w:rFonts w:eastAsia="Calibri" w:cs="Calibri"/>
          <w:szCs w:val="22"/>
        </w:rPr>
        <w:t xml:space="preserve">The 100% target was not met during this monitoring year however this was for good planning reasons. </w:t>
      </w:r>
    </w:p>
    <w:p w:rsidR="00126779" w:rsidRPr="001117F2" w:rsidRDefault="00126779" w:rsidP="00126779">
      <w:pPr>
        <w:numPr>
          <w:ilvl w:val="0"/>
          <w:numId w:val="2"/>
        </w:numPr>
        <w:spacing w:after="80" w:line="276" w:lineRule="auto"/>
        <w:ind w:left="567" w:hanging="567"/>
        <w:jc w:val="both"/>
        <w:rPr>
          <w:rFonts w:eastAsia="Calibri" w:cs="Times New Roman"/>
          <w:szCs w:val="22"/>
        </w:rPr>
      </w:pPr>
      <w:r w:rsidRPr="001117F2">
        <w:rPr>
          <w:rFonts w:eastAsia="Calibri" w:cs="Calibri"/>
          <w:szCs w:val="22"/>
        </w:rPr>
        <w:t xml:space="preserve">The Westgate Shopping Centre was completed towards the end of the 2017/18 monitoring </w:t>
      </w:r>
      <w:proofErr w:type="gramStart"/>
      <w:r w:rsidRPr="001117F2">
        <w:rPr>
          <w:rFonts w:eastAsia="Calibri" w:cs="Calibri"/>
          <w:szCs w:val="22"/>
        </w:rPr>
        <w:t>year</w:t>
      </w:r>
      <w:proofErr w:type="gramEnd"/>
      <w:r w:rsidRPr="001117F2">
        <w:rPr>
          <w:rFonts w:eastAsia="Calibri" w:cs="Calibri"/>
          <w:szCs w:val="22"/>
        </w:rPr>
        <w:t>, which has significantly contributed towards enhancing the retail offer in the city’s commercial centre and also creating additional jobs. This will reinforce the retail attraction of the city centre and will thereby support the retail hierarchy.</w:t>
      </w:r>
    </w:p>
    <w:p w:rsidR="00126779" w:rsidRPr="005E2706" w:rsidRDefault="00126779" w:rsidP="00126779">
      <w:pPr>
        <w:spacing w:after="80" w:line="276" w:lineRule="auto"/>
        <w:jc w:val="both"/>
        <w:rPr>
          <w:rFonts w:eastAsia="Calibri" w:cs="Times New Roman"/>
          <w:sz w:val="6"/>
          <w:szCs w:val="22"/>
        </w:rPr>
      </w:pPr>
    </w:p>
    <w:p w:rsidR="00126779" w:rsidRPr="007E2BF2" w:rsidRDefault="00126779" w:rsidP="00126779">
      <w:pPr>
        <w:outlineLvl w:val="1"/>
        <w:rPr>
          <w:rFonts w:asciiTheme="minorHAnsi" w:hAnsiTheme="minorHAnsi"/>
          <w:b/>
          <w:sz w:val="24"/>
          <w:lang w:eastAsia="en-GB"/>
        </w:rPr>
      </w:pPr>
      <w:bookmarkStart w:id="10" w:name="_Toc529178340"/>
      <w:r w:rsidRPr="007E2BF2">
        <w:rPr>
          <w:rFonts w:asciiTheme="minorHAnsi" w:hAnsiTheme="minorHAnsi"/>
          <w:b/>
          <w:sz w:val="24"/>
          <w:lang w:eastAsia="en-GB"/>
        </w:rPr>
        <w:t>Indicator 5: DESIGNATED RETAIL FRONTAGES</w:t>
      </w:r>
      <w:bookmarkEnd w:id="10"/>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p w:rsidR="00126779" w:rsidRPr="007E2BF2" w:rsidRDefault="00126779" w:rsidP="00126779">
      <w:pPr>
        <w:autoSpaceDE w:val="0"/>
        <w:autoSpaceDN w:val="0"/>
        <w:adjustRightInd w:val="0"/>
        <w:ind w:left="709" w:hanging="709"/>
        <w:jc w:val="both"/>
        <w:rPr>
          <w:rFonts w:eastAsia="Calibri" w:cs="Calibri"/>
          <w:b/>
          <w:color w:val="244061" w:themeColor="accent1" w:themeShade="80"/>
          <w:szCs w:val="22"/>
        </w:rPr>
      </w:pPr>
      <w:r w:rsidRPr="007E2BF2">
        <w:rPr>
          <w:noProof/>
          <w:lang w:eastAsia="en-GB"/>
        </w:rPr>
        <mc:AlternateContent>
          <mc:Choice Requires="wps">
            <w:drawing>
              <wp:anchor distT="0" distB="0" distL="114300" distR="114300" simplePos="0" relativeHeight="251661312" behindDoc="1" locked="0" layoutInCell="1" allowOverlap="1" wp14:anchorId="09543F01" wp14:editId="0001B14E">
                <wp:simplePos x="0" y="0"/>
                <wp:positionH relativeFrom="column">
                  <wp:posOffset>-57150</wp:posOffset>
                </wp:positionH>
                <wp:positionV relativeFrom="paragraph">
                  <wp:posOffset>-261620</wp:posOffset>
                </wp:positionV>
                <wp:extent cx="5848350" cy="1495425"/>
                <wp:effectExtent l="0" t="0" r="0" b="9525"/>
                <wp:wrapNone/>
                <wp:docPr id="132" name="Rectangle 132"/>
                <wp:cNvGraphicFramePr/>
                <a:graphic xmlns:a="http://schemas.openxmlformats.org/drawingml/2006/main">
                  <a:graphicData uri="http://schemas.microsoft.com/office/word/2010/wordprocessingShape">
                    <wps:wsp>
                      <wps:cNvSpPr/>
                      <wps:spPr>
                        <a:xfrm>
                          <a:off x="0" y="0"/>
                          <a:ext cx="5848350"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D53794" id="Rectangle 132" o:spid="_x0000_s1026" style="position:absolute;margin-left:-4.5pt;margin-top:-20.6pt;width:460.5pt;height:11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" fillcolor="#dbeef4" stroked="f" strokeweight="2pt"/>
            </w:pict>
          </mc:Fallback>
        </mc:AlternateContent>
      </w:r>
      <w:r w:rsidRPr="007E2BF2">
        <w:rPr>
          <w:rFonts w:eastAsia="Calibri" w:cs="Calibri"/>
          <w:b/>
          <w:color w:val="244061" w:themeColor="accent1" w:themeShade="80"/>
          <w:szCs w:val="22"/>
        </w:rPr>
        <w:t xml:space="preserve">Target: Local Plan targets for A1 uses on designated frontages in the city and district centres   should be met </w:t>
      </w:r>
      <w:r w:rsidRPr="007E2BF2">
        <w:rPr>
          <w:rFonts w:eastAsia="Calibri" w:cs="Calibri"/>
          <w:color w:val="244061" w:themeColor="accent1" w:themeShade="80"/>
          <w:sz w:val="20"/>
          <w:szCs w:val="22"/>
        </w:rPr>
        <w:t>(Saved Oxford Local Plan Policies RC</w:t>
      </w:r>
      <w:r>
        <w:rPr>
          <w:rFonts w:eastAsia="Calibri" w:cs="Calibri"/>
          <w:color w:val="244061" w:themeColor="accent1" w:themeShade="80"/>
          <w:sz w:val="20"/>
          <w:szCs w:val="22"/>
        </w:rPr>
        <w:t>.</w:t>
      </w:r>
      <w:r w:rsidRPr="007E2BF2">
        <w:rPr>
          <w:rFonts w:eastAsia="Calibri" w:cs="Calibri"/>
          <w:color w:val="244061" w:themeColor="accent1" w:themeShade="80"/>
          <w:sz w:val="20"/>
          <w:szCs w:val="22"/>
        </w:rPr>
        <w:t>3 &amp; RC</w:t>
      </w:r>
      <w:r>
        <w:rPr>
          <w:rFonts w:eastAsia="Calibri" w:cs="Calibri"/>
          <w:color w:val="244061" w:themeColor="accent1" w:themeShade="80"/>
          <w:sz w:val="20"/>
          <w:szCs w:val="22"/>
        </w:rPr>
        <w:t>.</w:t>
      </w:r>
      <w:r w:rsidRPr="007E2BF2">
        <w:rPr>
          <w:rFonts w:eastAsia="Calibri" w:cs="Calibri"/>
          <w:color w:val="244061" w:themeColor="accent1" w:themeShade="80"/>
          <w:sz w:val="20"/>
          <w:szCs w:val="22"/>
        </w:rPr>
        <w:t>4)</w:t>
      </w:r>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rsidTr="00126779">
        <w:trPr>
          <w:trHeight w:val="218"/>
        </w:trPr>
        <w:tc>
          <w:tcPr>
            <w:tcW w:w="5420" w:type="dxa"/>
          </w:tcPr>
          <w:p w:rsidR="00126779" w:rsidRPr="007E2BF2" w:rsidRDefault="00126779" w:rsidP="00126779">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w:t>
            </w:r>
            <w:r>
              <w:rPr>
                <w:rFonts w:ascii="Arial" w:eastAsia="Calibri" w:hAnsi="Arial" w:cs="Calibri"/>
                <w:b/>
                <w:color w:val="244061" w:themeColor="accent1" w:themeShade="80"/>
                <w:sz w:val="20"/>
                <w:szCs w:val="22"/>
              </w:rPr>
              <w:t>7</w:t>
            </w:r>
            <w:r w:rsidRPr="007E2BF2">
              <w:rPr>
                <w:rFonts w:ascii="Arial" w:eastAsia="Calibri" w:hAnsi="Arial" w:cs="Calibri"/>
                <w:b/>
                <w:color w:val="244061" w:themeColor="accent1" w:themeShade="80"/>
                <w:sz w:val="20"/>
                <w:szCs w:val="22"/>
              </w:rPr>
              <w:t>/1</w:t>
            </w:r>
            <w:r>
              <w:rPr>
                <w:rFonts w:ascii="Arial" w:eastAsia="Calibri" w:hAnsi="Arial" w:cs="Calibri"/>
                <w:b/>
                <w:color w:val="244061" w:themeColor="accent1" w:themeShade="80"/>
                <w:sz w:val="20"/>
                <w:szCs w:val="22"/>
              </w:rPr>
              <w:t>8</w:t>
            </w:r>
            <w:r w:rsidRPr="007E2BF2">
              <w:rPr>
                <w:rFonts w:ascii="Arial" w:eastAsia="Calibri" w:hAnsi="Arial" w:cs="Calibri"/>
                <w:b/>
                <w:color w:val="244061" w:themeColor="accent1" w:themeShade="80"/>
                <w:sz w:val="20"/>
                <w:szCs w:val="22"/>
              </w:rPr>
              <w:t>:</w:t>
            </w:r>
          </w:p>
        </w:tc>
        <w:tc>
          <w:tcPr>
            <w:tcW w:w="3714" w:type="dxa"/>
            <w:gridSpan w:val="2"/>
          </w:tcPr>
          <w:p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26779" w:rsidRPr="00600D78" w:rsidRDefault="00126779" w:rsidP="00126779">
            <w:pPr>
              <w:autoSpaceDE w:val="0"/>
              <w:autoSpaceDN w:val="0"/>
              <w:adjustRightInd w:val="0"/>
              <w:rPr>
                <w:rFonts w:ascii="Arial" w:eastAsia="Calibri" w:hAnsi="Arial" w:cs="Calibri"/>
                <w:b/>
                <w:color w:val="244061" w:themeColor="accent1" w:themeShade="80"/>
                <w:sz w:val="6"/>
                <w:szCs w:val="6"/>
              </w:rPr>
            </w:pPr>
          </w:p>
        </w:tc>
      </w:tr>
      <w:tr w:rsidR="00126779" w:rsidRPr="007E2BF2" w:rsidTr="00126779">
        <w:tc>
          <w:tcPr>
            <w:tcW w:w="5420" w:type="dxa"/>
            <w:vMerge w:val="restart"/>
          </w:tcPr>
          <w:p w:rsidR="00126779" w:rsidRPr="00600D78" w:rsidRDefault="00126779" w:rsidP="00126779">
            <w:pPr>
              <w:autoSpaceDE w:val="0"/>
              <w:autoSpaceDN w:val="0"/>
              <w:adjustRightInd w:val="0"/>
              <w:rPr>
                <w:rFonts w:ascii="Arial" w:eastAsia="Calibri" w:hAnsi="Arial" w:cs="Calibri"/>
                <w:b/>
                <w:color w:val="244061" w:themeColor="accent1" w:themeShade="80"/>
                <w:sz w:val="4"/>
                <w:szCs w:val="4"/>
              </w:rPr>
            </w:pP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F01942">
              <w:rPr>
                <w:b/>
                <w:noProof/>
                <w:sz w:val="28"/>
                <w:szCs w:val="32"/>
                <w:lang w:eastAsia="en-GB"/>
              </w:rPr>
              <w:drawing>
                <wp:inline distT="0" distB="0" distL="0" distR="0" wp14:anchorId="5BFBA9B1" wp14:editId="60A9D985">
                  <wp:extent cx="1390650" cy="433702"/>
                  <wp:effectExtent l="0" t="0" r="0" b="5080"/>
                  <wp:docPr id="11" name="Picture 1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w:t>
            </w:r>
            <w:r>
              <w:rPr>
                <w:rFonts w:ascii="Arial" w:eastAsia="Calibri" w:hAnsi="Arial" w:cs="Calibri"/>
                <w:b/>
                <w:color w:val="244061" w:themeColor="accent1" w:themeShade="80"/>
                <w:sz w:val="20"/>
                <w:szCs w:val="22"/>
              </w:rPr>
              <w:t>6</w:t>
            </w:r>
            <w:r w:rsidRPr="007E2BF2">
              <w:rPr>
                <w:rFonts w:ascii="Arial" w:eastAsia="Calibri" w:hAnsi="Arial" w:cs="Calibri"/>
                <w:b/>
                <w:color w:val="244061" w:themeColor="accent1" w:themeShade="80"/>
                <w:sz w:val="20"/>
                <w:szCs w:val="22"/>
              </w:rPr>
              <w:t>/1</w:t>
            </w:r>
            <w:r>
              <w:rPr>
                <w:rFonts w:ascii="Arial" w:eastAsia="Calibri" w:hAnsi="Arial" w:cs="Calibri"/>
                <w:b/>
                <w:color w:val="244061" w:themeColor="accent1" w:themeShade="80"/>
                <w:sz w:val="20"/>
                <w:szCs w:val="22"/>
              </w:rPr>
              <w:t>7</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6F0AB26F" wp14:editId="086C347A">
                  <wp:extent cx="819509" cy="255580"/>
                  <wp:effectExtent l="0" t="0" r="0" b="0"/>
                  <wp:docPr id="162" name="Picture 16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8"/>
                <w:szCs w:val="8"/>
              </w:rPr>
            </w:pPr>
          </w:p>
        </w:tc>
      </w:tr>
      <w:tr w:rsidR="00126779" w:rsidRPr="007E2BF2" w:rsidTr="00126779">
        <w:tc>
          <w:tcPr>
            <w:tcW w:w="5420" w:type="dxa"/>
            <w:vMerge/>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2015</w:t>
            </w:r>
            <w:r w:rsidRPr="007E2BF2">
              <w:rPr>
                <w:rFonts w:ascii="Arial" w:eastAsia="Calibri" w:hAnsi="Arial" w:cs="Calibri"/>
                <w:b/>
                <w:color w:val="244061" w:themeColor="accent1" w:themeShade="80"/>
                <w:sz w:val="20"/>
                <w:szCs w:val="22"/>
              </w:rPr>
              <w:t>/1</w:t>
            </w:r>
            <w:r>
              <w:rPr>
                <w:rFonts w:ascii="Arial" w:eastAsia="Calibri" w:hAnsi="Arial" w:cs="Calibri"/>
                <w:b/>
                <w:color w:val="244061" w:themeColor="accent1" w:themeShade="80"/>
                <w:sz w:val="20"/>
                <w:szCs w:val="22"/>
              </w:rPr>
              <w:t>6</w:t>
            </w:r>
            <w:r w:rsidRPr="007E2BF2">
              <w:rPr>
                <w:rFonts w:ascii="Arial" w:eastAsia="Calibri" w:hAnsi="Arial" w:cs="Calibri"/>
                <w:b/>
                <w:color w:val="244061" w:themeColor="accent1" w:themeShade="80"/>
                <w:sz w:val="20"/>
                <w:szCs w:val="22"/>
              </w:rPr>
              <w:t>:</w:t>
            </w:r>
          </w:p>
        </w:tc>
        <w:tc>
          <w:tcPr>
            <w:tcW w:w="2613"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3A25F23B" wp14:editId="5CCA86F7">
                  <wp:extent cx="819509" cy="255580"/>
                  <wp:effectExtent l="0" t="0" r="0" b="0"/>
                  <wp:docPr id="163" name="Picture 16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126779" w:rsidRPr="004F7512" w:rsidRDefault="00126779" w:rsidP="00126779">
      <w:pPr>
        <w:spacing w:line="276" w:lineRule="auto"/>
        <w:jc w:val="both"/>
        <w:rPr>
          <w:rFonts w:eastAsia="Calibri" w:cs="Calibri"/>
          <w:b/>
          <w:color w:val="244061" w:themeColor="accent1" w:themeShade="80"/>
          <w:sz w:val="12"/>
          <w:szCs w:val="22"/>
        </w:rPr>
      </w:pPr>
    </w:p>
    <w:p w:rsidR="00126779" w:rsidRPr="007E2BF2" w:rsidRDefault="00126779" w:rsidP="00126779">
      <w:pPr>
        <w:spacing w:line="276" w:lineRule="auto"/>
        <w:jc w:val="both"/>
        <w:rPr>
          <w:rFonts w:eastAsia="Calibri" w:cs="Calibri"/>
          <w:b/>
          <w:color w:val="244061" w:themeColor="accent1" w:themeShade="80"/>
          <w:szCs w:val="22"/>
        </w:rPr>
      </w:pPr>
      <w:r w:rsidRPr="007E2BF2">
        <w:rPr>
          <w:rFonts w:eastAsia="Calibri" w:cs="Calibri"/>
          <w:b/>
          <w:color w:val="244061" w:themeColor="accent1" w:themeShade="80"/>
          <w:szCs w:val="22"/>
        </w:rPr>
        <w:t>Vitality</w:t>
      </w:r>
    </w:p>
    <w:p w:rsidR="00126779" w:rsidRDefault="00126779" w:rsidP="00126779">
      <w:pPr>
        <w:numPr>
          <w:ilvl w:val="0"/>
          <w:numId w:val="2"/>
        </w:numPr>
        <w:spacing w:after="60" w:line="276" w:lineRule="auto"/>
        <w:ind w:left="567" w:hanging="567"/>
        <w:jc w:val="both"/>
        <w:rPr>
          <w:rFonts w:eastAsia="Calibri" w:cs="Times New Roman"/>
          <w:szCs w:val="22"/>
        </w:rPr>
      </w:pPr>
      <w:r w:rsidRPr="007E2BF2">
        <w:rPr>
          <w:rFonts w:eastAsia="Calibri" w:cs="Times New Roman"/>
          <w:szCs w:val="22"/>
        </w:rPr>
        <w:t>Saved Local Plan Policies RC</w:t>
      </w:r>
      <w:r>
        <w:rPr>
          <w:rFonts w:eastAsia="Calibri" w:cs="Times New Roman"/>
          <w:szCs w:val="22"/>
        </w:rPr>
        <w:t>.</w:t>
      </w:r>
      <w:r w:rsidRPr="007E2BF2">
        <w:rPr>
          <w:rFonts w:eastAsia="Calibri" w:cs="Times New Roman"/>
          <w:szCs w:val="22"/>
        </w:rPr>
        <w:t>3</w:t>
      </w:r>
      <w:r>
        <w:rPr>
          <w:rFonts w:eastAsia="Calibri" w:cs="Times New Roman"/>
          <w:szCs w:val="22"/>
        </w:rPr>
        <w:t>,</w:t>
      </w:r>
      <w:r w:rsidRPr="007E2BF2">
        <w:rPr>
          <w:rFonts w:eastAsia="Calibri" w:cs="Times New Roman"/>
          <w:szCs w:val="22"/>
        </w:rPr>
        <w:t xml:space="preserve"> RC</w:t>
      </w:r>
      <w:r>
        <w:rPr>
          <w:rFonts w:eastAsia="Calibri" w:cs="Times New Roman"/>
          <w:szCs w:val="22"/>
        </w:rPr>
        <w:t>.</w:t>
      </w:r>
      <w:r w:rsidRPr="007E2BF2">
        <w:rPr>
          <w:rFonts w:eastAsia="Calibri" w:cs="Times New Roman"/>
          <w:szCs w:val="22"/>
        </w:rPr>
        <w:t>4</w:t>
      </w:r>
      <w:r>
        <w:rPr>
          <w:rFonts w:eastAsia="Calibri" w:cs="Times New Roman"/>
          <w:szCs w:val="22"/>
        </w:rPr>
        <w:t>, and RC.5</w:t>
      </w:r>
      <w:r w:rsidRPr="007E2BF2">
        <w:rPr>
          <w:rFonts w:eastAsia="Calibri" w:cs="Times New Roman"/>
          <w:szCs w:val="22"/>
        </w:rPr>
        <w:t xml:space="preserve"> identify a number of designated retail frontages and set targets for the proportion of A1 retail units each should contain at ground floor level. The city centre is identified as being the main location for new retail development, with district centres identified as being suitable for retail serving local level needs. The targets for district shopping frontages are therefore slightly lower than for the city centre. </w:t>
      </w:r>
    </w:p>
    <w:p w:rsidR="00126779" w:rsidRPr="004F7512" w:rsidRDefault="00126779" w:rsidP="00126779">
      <w:pPr>
        <w:spacing w:line="276" w:lineRule="auto"/>
        <w:ind w:left="567"/>
        <w:jc w:val="both"/>
        <w:rPr>
          <w:rFonts w:eastAsia="Calibri" w:cs="Times New Roman"/>
          <w:sz w:val="2"/>
          <w:szCs w:val="2"/>
        </w:rPr>
      </w:pPr>
    </w:p>
    <w:tbl>
      <w:tblPr>
        <w:tblW w:w="8855" w:type="dxa"/>
        <w:jc w:val="center"/>
        <w:tblLook w:val="04A0" w:firstRow="1" w:lastRow="0" w:firstColumn="1" w:lastColumn="0" w:noHBand="0" w:noVBand="1"/>
      </w:tblPr>
      <w:tblGrid>
        <w:gridCol w:w="995"/>
        <w:gridCol w:w="913"/>
        <w:gridCol w:w="964"/>
        <w:gridCol w:w="945"/>
        <w:gridCol w:w="988"/>
        <w:gridCol w:w="989"/>
        <w:gridCol w:w="989"/>
        <w:gridCol w:w="989"/>
        <w:gridCol w:w="1083"/>
      </w:tblGrid>
      <w:tr w:rsidR="00126779" w:rsidRPr="007E2BF2" w:rsidTr="00126779">
        <w:trPr>
          <w:trHeight w:val="371"/>
          <w:jc w:val="center"/>
        </w:trPr>
        <w:tc>
          <w:tcPr>
            <w:tcW w:w="1908" w:type="dxa"/>
            <w:gridSpan w:val="2"/>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ind w:firstLineChars="200" w:firstLine="400"/>
              <w:contextualSpacing/>
              <w:rPr>
                <w:rFonts w:ascii="Arial" w:eastAsia="Times New Roman" w:hAnsi="Arial"/>
                <w:color w:val="262626" w:themeColor="text1" w:themeTint="D9"/>
                <w:sz w:val="20"/>
                <w:szCs w:val="20"/>
                <w:lang w:eastAsia="en-GB"/>
              </w:rPr>
            </w:pPr>
            <w:r w:rsidRPr="00CD232F">
              <w:rPr>
                <w:rFonts w:ascii="Arial" w:eastAsia="Times New Roman" w:hAnsi="Arial"/>
                <w:color w:val="262626" w:themeColor="text1" w:themeTint="D9"/>
                <w:sz w:val="20"/>
                <w:szCs w:val="20"/>
                <w:lang w:eastAsia="en-GB"/>
              </w:rPr>
              <w:t> </w:t>
            </w:r>
          </w:p>
        </w:tc>
        <w:tc>
          <w:tcPr>
            <w:tcW w:w="964" w:type="dxa"/>
            <w:tcBorders>
              <w:top w:val="single" w:sz="8" w:space="0" w:color="215868"/>
              <w:left w:val="nil"/>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 xml:space="preserve">Target </w:t>
            </w:r>
          </w:p>
        </w:tc>
        <w:tc>
          <w:tcPr>
            <w:tcW w:w="945" w:type="dxa"/>
            <w:tcBorders>
              <w:top w:val="single" w:sz="4" w:space="0" w:color="auto"/>
              <w:left w:val="single" w:sz="4" w:space="0" w:color="auto"/>
              <w:bottom w:val="single" w:sz="4" w:space="0" w:color="auto"/>
              <w:right w:val="single" w:sz="4" w:space="0" w:color="auto"/>
            </w:tcBorders>
            <w:vAlign w:val="center"/>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Pr>
                <w:rFonts w:eastAsia="Times New Roman" w:cs="Calibri"/>
                <w:b/>
                <w:bCs/>
                <w:color w:val="262626" w:themeColor="text1" w:themeTint="D9"/>
                <w:sz w:val="20"/>
                <w:szCs w:val="20"/>
                <w:lang w:eastAsia="en-GB"/>
              </w:rPr>
              <w:t>2017/18</w:t>
            </w:r>
          </w:p>
        </w:tc>
        <w:tc>
          <w:tcPr>
            <w:tcW w:w="988" w:type="dxa"/>
            <w:tcBorders>
              <w:top w:val="single" w:sz="8" w:space="0" w:color="215868"/>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2016/17</w:t>
            </w:r>
          </w:p>
        </w:tc>
        <w:tc>
          <w:tcPr>
            <w:tcW w:w="989" w:type="dxa"/>
            <w:tcBorders>
              <w:top w:val="single" w:sz="8" w:space="0" w:color="215868"/>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2015/16</w:t>
            </w:r>
          </w:p>
        </w:tc>
        <w:tc>
          <w:tcPr>
            <w:tcW w:w="989" w:type="dxa"/>
            <w:tcBorders>
              <w:top w:val="single" w:sz="8" w:space="0" w:color="215868"/>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2014/15</w:t>
            </w:r>
          </w:p>
        </w:tc>
        <w:tc>
          <w:tcPr>
            <w:tcW w:w="989" w:type="dxa"/>
            <w:tcBorders>
              <w:top w:val="single" w:sz="8" w:space="0" w:color="215868"/>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2013/14</w:t>
            </w:r>
          </w:p>
        </w:tc>
        <w:tc>
          <w:tcPr>
            <w:tcW w:w="1083" w:type="dxa"/>
            <w:tcBorders>
              <w:top w:val="single" w:sz="8" w:space="0" w:color="215868"/>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2012/13</w:t>
            </w:r>
          </w:p>
        </w:tc>
      </w:tr>
      <w:tr w:rsidR="00126779" w:rsidRPr="007E2BF2" w:rsidTr="00126779">
        <w:trPr>
          <w:trHeight w:val="347"/>
          <w:jc w:val="center"/>
        </w:trPr>
        <w:tc>
          <w:tcPr>
            <w:tcW w:w="995" w:type="dxa"/>
            <w:tcBorders>
              <w:top w:val="nil"/>
              <w:left w:val="single" w:sz="8" w:space="0" w:color="215868"/>
              <w:bottom w:val="single" w:sz="8" w:space="0" w:color="215868"/>
              <w:right w:val="single" w:sz="8" w:space="0" w:color="215868"/>
            </w:tcBorders>
            <w:shd w:val="clear" w:color="000000" w:fill="D9D9D9"/>
          </w:tcPr>
          <w:p w:rsidR="00126779" w:rsidRPr="00CD232F" w:rsidRDefault="00126779" w:rsidP="00126779">
            <w:pPr>
              <w:contextualSpacing/>
              <w:rPr>
                <w:rFonts w:eastAsia="Times New Roman" w:cs="Calibri"/>
                <w:b/>
                <w:bCs/>
                <w:color w:val="262626" w:themeColor="text1" w:themeTint="D9"/>
                <w:sz w:val="20"/>
                <w:szCs w:val="20"/>
                <w:lang w:eastAsia="en-GB"/>
              </w:rPr>
            </w:pPr>
          </w:p>
        </w:tc>
        <w:tc>
          <w:tcPr>
            <w:tcW w:w="7860" w:type="dxa"/>
            <w:gridSpan w:val="8"/>
            <w:tcBorders>
              <w:top w:val="nil"/>
              <w:left w:val="single" w:sz="8" w:space="0" w:color="215868"/>
              <w:bottom w:val="single" w:sz="8" w:space="0" w:color="215868"/>
              <w:right w:val="single" w:sz="8" w:space="0" w:color="215868"/>
            </w:tcBorders>
            <w:shd w:val="clear" w:color="000000" w:fill="D9D9D9"/>
            <w:vAlign w:val="center"/>
            <w:hideMark/>
          </w:tcPr>
          <w:p w:rsidR="00126779" w:rsidRPr="00CD232F" w:rsidRDefault="00126779" w:rsidP="00126779">
            <w:pPr>
              <w:contextualSpacing/>
              <w:rPr>
                <w:rFonts w:eastAsia="Times New Roman" w:cs="Calibri"/>
                <w:b/>
                <w:bCs/>
                <w:color w:val="262626" w:themeColor="text1" w:themeTint="D9"/>
                <w:sz w:val="20"/>
                <w:szCs w:val="20"/>
                <w:lang w:eastAsia="en-GB"/>
              </w:rPr>
            </w:pPr>
            <w:r>
              <w:rPr>
                <w:rFonts w:eastAsia="Times New Roman" w:cs="Calibri"/>
                <w:b/>
                <w:bCs/>
                <w:color w:val="262626" w:themeColor="text1" w:themeTint="D9"/>
                <w:sz w:val="20"/>
                <w:szCs w:val="20"/>
                <w:lang w:eastAsia="en-GB"/>
              </w:rPr>
              <w:t> City Centre Shopping Frontages</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Primary shopping frontage</w:t>
            </w:r>
          </w:p>
        </w:tc>
        <w:tc>
          <w:tcPr>
            <w:tcW w:w="964" w:type="dxa"/>
            <w:tcBorders>
              <w:top w:val="nil"/>
              <w:left w:val="nil"/>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75%</w:t>
            </w:r>
          </w:p>
        </w:tc>
        <w:tc>
          <w:tcPr>
            <w:tcW w:w="945" w:type="dxa"/>
            <w:tcBorders>
              <w:top w:val="single" w:sz="4" w:space="0" w:color="auto"/>
              <w:left w:val="single" w:sz="4" w:space="0" w:color="auto"/>
              <w:bottom w:val="single" w:sz="4" w:space="0" w:color="auto"/>
              <w:right w:val="single" w:sz="4" w:space="0" w:color="auto"/>
            </w:tcBorders>
            <w:shd w:val="clear" w:color="000000" w:fill="FFC000"/>
            <w:vAlign w:val="center"/>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74.76%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74.30%</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75.29%</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78.19%</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77.73%</w:t>
            </w:r>
          </w:p>
        </w:tc>
        <w:tc>
          <w:tcPr>
            <w:tcW w:w="1083"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78.57%</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lastRenderedPageBreak/>
              <w:t>Secondary shopping frontage</w:t>
            </w:r>
          </w:p>
        </w:tc>
        <w:tc>
          <w:tcPr>
            <w:tcW w:w="964" w:type="dxa"/>
            <w:tcBorders>
              <w:top w:val="nil"/>
              <w:left w:val="nil"/>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50%</w:t>
            </w:r>
          </w:p>
        </w:tc>
        <w:tc>
          <w:tcPr>
            <w:tcW w:w="945" w:type="dxa"/>
            <w:tcBorders>
              <w:top w:val="single" w:sz="4" w:space="0" w:color="auto"/>
              <w:left w:val="single" w:sz="4" w:space="0" w:color="auto"/>
              <w:bottom w:val="single" w:sz="4" w:space="0" w:color="auto"/>
              <w:right w:val="single" w:sz="4" w:space="0" w:color="auto"/>
            </w:tcBorders>
            <w:shd w:val="clear" w:color="000000" w:fill="FFC000"/>
            <w:vAlign w:val="center"/>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49.24%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49.24%</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52.27%</w:t>
            </w:r>
          </w:p>
        </w:tc>
        <w:tc>
          <w:tcPr>
            <w:tcW w:w="1083"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51.88%</w:t>
            </w:r>
          </w:p>
        </w:tc>
      </w:tr>
      <w:tr w:rsidR="00126779" w:rsidRPr="007E2BF2" w:rsidTr="00126779">
        <w:trPr>
          <w:trHeight w:val="347"/>
          <w:jc w:val="center"/>
        </w:trPr>
        <w:tc>
          <w:tcPr>
            <w:tcW w:w="995" w:type="dxa"/>
            <w:tcBorders>
              <w:top w:val="nil"/>
              <w:left w:val="single" w:sz="8" w:space="0" w:color="215868"/>
              <w:bottom w:val="single" w:sz="8" w:space="0" w:color="215868"/>
              <w:right w:val="single" w:sz="4" w:space="0" w:color="auto"/>
            </w:tcBorders>
            <w:shd w:val="clear" w:color="000000" w:fill="D9D9D9"/>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p>
        </w:tc>
        <w:tc>
          <w:tcPr>
            <w:tcW w:w="786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xml:space="preserve">District </w:t>
            </w:r>
            <w:r>
              <w:rPr>
                <w:rFonts w:asciiTheme="minorHAnsi" w:eastAsia="Times New Roman" w:hAnsiTheme="minorHAnsi" w:cstheme="minorHAnsi"/>
                <w:b/>
                <w:bCs/>
                <w:color w:val="262626" w:themeColor="text1" w:themeTint="D9"/>
                <w:sz w:val="20"/>
                <w:szCs w:val="20"/>
                <w:lang w:eastAsia="en-GB"/>
              </w:rPr>
              <w:t xml:space="preserve">Centre </w:t>
            </w:r>
            <w:r w:rsidRPr="00CD232F">
              <w:rPr>
                <w:rFonts w:asciiTheme="minorHAnsi" w:eastAsia="Times New Roman" w:hAnsiTheme="minorHAnsi" w:cstheme="minorHAnsi"/>
                <w:b/>
                <w:bCs/>
                <w:color w:val="262626" w:themeColor="text1" w:themeTint="D9"/>
                <w:sz w:val="20"/>
                <w:szCs w:val="20"/>
                <w:lang w:eastAsia="en-GB"/>
              </w:rPr>
              <w:t>Shopping Frontages</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proofErr w:type="spellStart"/>
            <w:r w:rsidRPr="00CD232F">
              <w:rPr>
                <w:rFonts w:asciiTheme="minorHAnsi" w:eastAsia="Times New Roman" w:hAnsiTheme="minorHAnsi" w:cstheme="minorHAnsi"/>
                <w:b/>
                <w:bCs/>
                <w:color w:val="262626" w:themeColor="text1" w:themeTint="D9"/>
                <w:sz w:val="20"/>
                <w:szCs w:val="20"/>
                <w:lang w:eastAsia="en-GB"/>
              </w:rPr>
              <w:t>Cowley</w:t>
            </w:r>
            <w:proofErr w:type="spellEnd"/>
            <w:r w:rsidRPr="00CD232F">
              <w:rPr>
                <w:rFonts w:asciiTheme="minorHAnsi" w:eastAsia="Times New Roman" w:hAnsiTheme="minorHAnsi" w:cstheme="minorHAnsi"/>
                <w:b/>
                <w:bCs/>
                <w:color w:val="262626" w:themeColor="text1" w:themeTint="D9"/>
                <w:sz w:val="20"/>
                <w:szCs w:val="20"/>
                <w:lang w:eastAsia="en-GB"/>
              </w:rPr>
              <w:t xml:space="preserve"> </w:t>
            </w:r>
            <w:r>
              <w:rPr>
                <w:rFonts w:asciiTheme="minorHAnsi" w:eastAsia="Times New Roman" w:hAnsiTheme="minorHAnsi" w:cstheme="minorHAnsi"/>
                <w:b/>
                <w:bCs/>
                <w:color w:val="262626" w:themeColor="text1" w:themeTint="D9"/>
                <w:sz w:val="20"/>
                <w:szCs w:val="20"/>
                <w:lang w:eastAsia="en-GB"/>
              </w:rPr>
              <w:t>Centre</w:t>
            </w:r>
          </w:p>
        </w:tc>
        <w:tc>
          <w:tcPr>
            <w:tcW w:w="964" w:type="dxa"/>
            <w:tcBorders>
              <w:top w:val="nil"/>
              <w:left w:val="single" w:sz="8" w:space="0" w:color="215868"/>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45" w:type="dxa"/>
            <w:tcBorders>
              <w:top w:val="single" w:sz="4" w:space="0" w:color="auto"/>
              <w:left w:val="single" w:sz="4" w:space="0" w:color="auto"/>
              <w:right w:val="single" w:sz="4" w:space="0" w:color="auto"/>
            </w:tcBorders>
            <w:shd w:val="clear" w:color="auto" w:fill="92D050"/>
            <w:vAlign w:val="center"/>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76.09%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74.00%</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72.04%</w:t>
            </w:r>
          </w:p>
        </w:tc>
        <w:tc>
          <w:tcPr>
            <w:tcW w:w="989" w:type="dxa"/>
            <w:tcBorders>
              <w:top w:val="nil"/>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73.91%</w:t>
            </w:r>
          </w:p>
        </w:tc>
        <w:tc>
          <w:tcPr>
            <w:tcW w:w="989" w:type="dxa"/>
            <w:tcBorders>
              <w:top w:val="nil"/>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74.73%</w:t>
            </w:r>
          </w:p>
        </w:tc>
        <w:tc>
          <w:tcPr>
            <w:tcW w:w="1083" w:type="dxa"/>
            <w:tcBorders>
              <w:top w:val="nil"/>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74.71%</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r>
              <w:rPr>
                <w:rFonts w:asciiTheme="minorHAnsi" w:eastAsia="Times New Roman" w:hAnsiTheme="minorHAnsi" w:cstheme="minorHAnsi"/>
                <w:b/>
                <w:bCs/>
                <w:color w:val="262626" w:themeColor="text1" w:themeTint="D9"/>
                <w:sz w:val="20"/>
                <w:szCs w:val="20"/>
                <w:lang w:eastAsia="en-GB"/>
              </w:rPr>
              <w:t xml:space="preserve">East Oxford - </w:t>
            </w:r>
            <w:proofErr w:type="spellStart"/>
            <w:r w:rsidRPr="00CD232F">
              <w:rPr>
                <w:rFonts w:asciiTheme="minorHAnsi" w:eastAsia="Times New Roman" w:hAnsiTheme="minorHAnsi" w:cstheme="minorHAnsi"/>
                <w:b/>
                <w:bCs/>
                <w:color w:val="262626" w:themeColor="text1" w:themeTint="D9"/>
                <w:sz w:val="20"/>
                <w:szCs w:val="20"/>
                <w:lang w:eastAsia="en-GB"/>
              </w:rPr>
              <w:t>Cowley</w:t>
            </w:r>
            <w:proofErr w:type="spellEnd"/>
            <w:r w:rsidRPr="00CD232F">
              <w:rPr>
                <w:rFonts w:asciiTheme="minorHAnsi" w:eastAsia="Times New Roman" w:hAnsiTheme="minorHAnsi" w:cstheme="minorHAnsi"/>
                <w:b/>
                <w:bCs/>
                <w:color w:val="262626" w:themeColor="text1" w:themeTint="D9"/>
                <w:sz w:val="20"/>
                <w:szCs w:val="20"/>
                <w:lang w:eastAsia="en-GB"/>
              </w:rPr>
              <w:t xml:space="preserve"> Road</w:t>
            </w:r>
          </w:p>
        </w:tc>
        <w:tc>
          <w:tcPr>
            <w:tcW w:w="964" w:type="dxa"/>
            <w:tcBorders>
              <w:top w:val="nil"/>
              <w:left w:val="nil"/>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45" w:type="dxa"/>
            <w:tcBorders>
              <w:top w:val="single" w:sz="4" w:space="0" w:color="auto"/>
              <w:left w:val="single" w:sz="4" w:space="0" w:color="auto"/>
              <w:bottom w:val="single" w:sz="4" w:space="0" w:color="auto"/>
              <w:right w:val="single" w:sz="4" w:space="0" w:color="auto"/>
            </w:tcBorders>
            <w:shd w:val="clear" w:color="000000" w:fill="FF0000"/>
            <w:vAlign w:val="center"/>
          </w:tcPr>
          <w:p w:rsidR="00126779" w:rsidRPr="00A33C31" w:rsidRDefault="00126779" w:rsidP="00126779">
            <w:pPr>
              <w:contextualSpacing/>
              <w:jc w:val="center"/>
              <w:rPr>
                <w:rFonts w:asciiTheme="minorHAnsi" w:eastAsia="Times New Roman" w:hAnsiTheme="minorHAnsi" w:cstheme="minorHAnsi"/>
                <w:sz w:val="20"/>
                <w:szCs w:val="20"/>
                <w:lang w:eastAsia="en-GB"/>
              </w:rPr>
            </w:pPr>
            <w:r w:rsidRPr="00A33C31">
              <w:rPr>
                <w:rFonts w:asciiTheme="minorHAnsi" w:eastAsia="Times New Roman" w:hAnsiTheme="minorHAnsi" w:cstheme="minorHAnsi"/>
                <w:sz w:val="20"/>
                <w:szCs w:val="20"/>
                <w:lang w:eastAsia="en-GB"/>
              </w:rPr>
              <w:t>56.36%</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A33C31" w:rsidRDefault="00126779" w:rsidP="00126779">
            <w:pPr>
              <w:contextualSpacing/>
              <w:jc w:val="center"/>
              <w:rPr>
                <w:rFonts w:asciiTheme="minorHAnsi" w:eastAsia="Times New Roman" w:hAnsiTheme="minorHAnsi" w:cstheme="minorHAnsi"/>
                <w:sz w:val="20"/>
                <w:szCs w:val="20"/>
                <w:lang w:eastAsia="en-GB"/>
              </w:rPr>
            </w:pPr>
            <w:r w:rsidRPr="00A33C31">
              <w:rPr>
                <w:rFonts w:asciiTheme="minorHAnsi" w:eastAsia="Times New Roman" w:hAnsiTheme="minorHAnsi" w:cstheme="minorHAnsi"/>
                <w:sz w:val="20"/>
                <w:szCs w:val="20"/>
                <w:lang w:eastAsia="en-GB"/>
              </w:rPr>
              <w:t>58.00%</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56.60%</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50.33%</w:t>
            </w:r>
          </w:p>
        </w:tc>
        <w:tc>
          <w:tcPr>
            <w:tcW w:w="1083"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Headington</w:t>
            </w:r>
          </w:p>
        </w:tc>
        <w:tc>
          <w:tcPr>
            <w:tcW w:w="964" w:type="dxa"/>
            <w:tcBorders>
              <w:top w:val="nil"/>
              <w:left w:val="nil"/>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45" w:type="dxa"/>
            <w:tcBorders>
              <w:top w:val="single" w:sz="4" w:space="0" w:color="auto"/>
              <w:left w:val="single" w:sz="4" w:space="0" w:color="auto"/>
              <w:bottom w:val="single" w:sz="4" w:space="0" w:color="auto"/>
              <w:right w:val="single" w:sz="4" w:space="0" w:color="auto"/>
            </w:tcBorders>
            <w:shd w:val="clear" w:color="auto" w:fill="FFC000"/>
            <w:vAlign w:val="center"/>
          </w:tcPr>
          <w:p w:rsidR="00126779" w:rsidRPr="00A33C31" w:rsidRDefault="00126779" w:rsidP="00126779">
            <w:pPr>
              <w:contextualSpacing/>
              <w:jc w:val="cente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65.14%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A33C31" w:rsidRDefault="00126779" w:rsidP="00126779">
            <w:pPr>
              <w:contextualSpacing/>
              <w:jc w:val="center"/>
              <w:rPr>
                <w:rFonts w:asciiTheme="minorHAnsi" w:eastAsia="Times New Roman" w:hAnsiTheme="minorHAnsi" w:cstheme="minorHAnsi"/>
                <w:sz w:val="20"/>
                <w:szCs w:val="20"/>
                <w:lang w:eastAsia="en-GB"/>
              </w:rPr>
            </w:pPr>
            <w:r w:rsidRPr="00A33C31">
              <w:rPr>
                <w:rFonts w:asciiTheme="minorHAnsi" w:eastAsia="Times New Roman" w:hAnsiTheme="minorHAnsi" w:cstheme="minorHAnsi"/>
                <w:sz w:val="20"/>
                <w:szCs w:val="20"/>
                <w:lang w:eastAsia="en-GB"/>
              </w:rPr>
              <w:t>63.00%</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62.50%</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63.39%</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64.29%</w:t>
            </w:r>
          </w:p>
        </w:tc>
        <w:tc>
          <w:tcPr>
            <w:tcW w:w="1083"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63.40%</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Summertown</w:t>
            </w:r>
          </w:p>
        </w:tc>
        <w:tc>
          <w:tcPr>
            <w:tcW w:w="964" w:type="dxa"/>
            <w:tcBorders>
              <w:top w:val="nil"/>
              <w:left w:val="nil"/>
              <w:bottom w:val="single" w:sz="8" w:space="0" w:color="215868"/>
              <w:right w:val="single" w:sz="4" w:space="0" w:color="auto"/>
            </w:tcBorders>
            <w:shd w:val="clear" w:color="000000" w:fill="DBE5F1"/>
            <w:vAlign w:val="center"/>
            <w:hideMark/>
          </w:tcPr>
          <w:p w:rsidR="00126779" w:rsidRPr="00CD232F" w:rsidRDefault="00126779"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45" w:type="dxa"/>
            <w:tcBorders>
              <w:top w:val="single" w:sz="4" w:space="0" w:color="auto"/>
              <w:left w:val="single" w:sz="4" w:space="0" w:color="auto"/>
              <w:bottom w:val="single" w:sz="4" w:space="0" w:color="auto"/>
              <w:right w:val="single" w:sz="4" w:space="0" w:color="auto"/>
            </w:tcBorders>
            <w:shd w:val="clear" w:color="auto" w:fill="FFC000"/>
            <w:vAlign w:val="center"/>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62.00%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64.00%</w:t>
            </w:r>
          </w:p>
        </w:tc>
        <w:tc>
          <w:tcPr>
            <w:tcW w:w="1083"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64.36%</w:t>
            </w:r>
          </w:p>
        </w:tc>
      </w:tr>
      <w:tr w:rsidR="00126779" w:rsidRPr="007E2BF2" w:rsidTr="00126779">
        <w:trPr>
          <w:trHeight w:val="454"/>
          <w:jc w:val="center"/>
        </w:trPr>
        <w:tc>
          <w:tcPr>
            <w:tcW w:w="1908"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rsidR="00126779" w:rsidRPr="00CD232F" w:rsidRDefault="00126779" w:rsidP="00126779">
            <w:pPr>
              <w:rPr>
                <w:rFonts w:asciiTheme="minorHAnsi" w:eastAsia="Times New Roman" w:hAnsiTheme="minorHAnsi" w:cstheme="minorHAnsi"/>
                <w:b/>
                <w:color w:val="262626" w:themeColor="text1" w:themeTint="D9"/>
                <w:szCs w:val="22"/>
                <w:lang w:eastAsia="en-GB"/>
              </w:rPr>
            </w:pPr>
            <w:r w:rsidRPr="00CD232F">
              <w:rPr>
                <w:rFonts w:asciiTheme="minorHAnsi" w:eastAsia="Times New Roman" w:hAnsiTheme="minorHAnsi" w:cstheme="minorHAnsi"/>
                <w:b/>
                <w:color w:val="262626" w:themeColor="text1" w:themeTint="D9"/>
                <w:sz w:val="20"/>
                <w:szCs w:val="22"/>
                <w:lang w:eastAsia="en-GB"/>
              </w:rPr>
              <w:t>Blackbird Leys</w:t>
            </w:r>
            <w:r w:rsidRPr="00CD232F">
              <w:rPr>
                <w:rFonts w:asciiTheme="minorHAnsi" w:eastAsia="Times New Roman" w:hAnsiTheme="minorHAnsi" w:cstheme="minorHAnsi"/>
                <w:b/>
                <w:color w:val="262626" w:themeColor="text1" w:themeTint="D9"/>
                <w:sz w:val="20"/>
                <w:szCs w:val="22"/>
                <w:vertAlign w:val="superscript"/>
                <w:lang w:eastAsia="en-GB"/>
              </w:rPr>
              <w:footnoteReference w:id="11"/>
            </w:r>
          </w:p>
        </w:tc>
        <w:tc>
          <w:tcPr>
            <w:tcW w:w="964" w:type="dxa"/>
            <w:tcBorders>
              <w:top w:val="nil"/>
              <w:left w:val="nil"/>
              <w:bottom w:val="single" w:sz="8" w:space="0" w:color="215868"/>
              <w:right w:val="single" w:sz="4" w:space="0" w:color="auto"/>
            </w:tcBorders>
            <w:shd w:val="clear" w:color="000000" w:fill="DBE5F1"/>
            <w:vAlign w:val="center"/>
            <w:hideMark/>
          </w:tcPr>
          <w:p w:rsidR="00126779" w:rsidRPr="00CD232F" w:rsidRDefault="00126779" w:rsidP="00126779">
            <w:pPr>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N/A</w:t>
            </w:r>
          </w:p>
        </w:tc>
        <w:tc>
          <w:tcPr>
            <w:tcW w:w="945" w:type="dxa"/>
            <w:tcBorders>
              <w:top w:val="single" w:sz="4" w:space="0" w:color="auto"/>
              <w:left w:val="single" w:sz="4" w:space="0" w:color="auto"/>
              <w:bottom w:val="single" w:sz="4" w:space="0" w:color="auto"/>
              <w:right w:val="single" w:sz="4" w:space="0" w:color="auto"/>
            </w:tcBorders>
            <w:vAlign w:val="center"/>
          </w:tcPr>
          <w:p w:rsidR="00126779" w:rsidRPr="00CD232F" w:rsidRDefault="00126779" w:rsidP="00126779">
            <w:pPr>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N/A</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779" w:rsidRPr="00CD232F" w:rsidRDefault="00126779"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89" w:type="dxa"/>
            <w:tcBorders>
              <w:top w:val="nil"/>
              <w:left w:val="single" w:sz="4" w:space="0" w:color="auto"/>
              <w:bottom w:val="single" w:sz="8" w:space="0" w:color="215868"/>
              <w:right w:val="single" w:sz="8" w:space="0" w:color="215868"/>
            </w:tcBorders>
            <w:shd w:val="clear" w:color="auto" w:fill="auto"/>
            <w:vAlign w:val="center"/>
            <w:hideMark/>
          </w:tcPr>
          <w:p w:rsidR="00126779" w:rsidRPr="00CD232F" w:rsidRDefault="00126779"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89"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1083" w:type="dxa"/>
            <w:tcBorders>
              <w:top w:val="nil"/>
              <w:left w:val="nil"/>
              <w:bottom w:val="single" w:sz="8" w:space="0" w:color="215868"/>
              <w:right w:val="single" w:sz="8" w:space="0" w:color="215868"/>
            </w:tcBorders>
            <w:shd w:val="clear" w:color="auto" w:fill="auto"/>
            <w:vAlign w:val="center"/>
            <w:hideMark/>
          </w:tcPr>
          <w:p w:rsidR="00126779" w:rsidRPr="00CD232F" w:rsidRDefault="00126779"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r>
    </w:tbl>
    <w:p w:rsidR="00126779" w:rsidRPr="007E2BF2" w:rsidRDefault="00126779" w:rsidP="00126779">
      <w:pPr>
        <w:rPr>
          <w:rFonts w:cs="Calibri"/>
          <w:b/>
          <w:sz w:val="4"/>
          <w:szCs w:val="4"/>
        </w:rPr>
      </w:pPr>
    </w:p>
    <w:p w:rsidR="00126779" w:rsidRDefault="00126779" w:rsidP="00126779">
      <w:pPr>
        <w:jc w:val="center"/>
        <w:rPr>
          <w:rFonts w:cs="Calibri"/>
          <w:sz w:val="20"/>
        </w:rPr>
      </w:pPr>
      <w:r w:rsidRPr="007E2BF2">
        <w:rPr>
          <w:rFonts w:cs="Calibri"/>
          <w:b/>
          <w:sz w:val="20"/>
        </w:rPr>
        <w:t xml:space="preserve">Table </w:t>
      </w:r>
      <w:r>
        <w:rPr>
          <w:rFonts w:eastAsia="Calibri" w:cs="Calibri"/>
          <w:b/>
          <w:color w:val="000000"/>
          <w:sz w:val="20"/>
          <w:szCs w:val="22"/>
        </w:rPr>
        <w:t>6</w:t>
      </w:r>
      <w:r w:rsidRPr="007E2BF2">
        <w:rPr>
          <w:rFonts w:cs="Calibri"/>
          <w:sz w:val="20"/>
        </w:rPr>
        <w:t>: Designated Retail Frontages - Percentage of A1 retail units at ground floor level 201</w:t>
      </w:r>
      <w:r>
        <w:rPr>
          <w:rFonts w:cs="Calibri"/>
          <w:sz w:val="20"/>
        </w:rPr>
        <w:t>2</w:t>
      </w:r>
      <w:r w:rsidRPr="007E2BF2">
        <w:rPr>
          <w:rFonts w:cs="Calibri"/>
          <w:sz w:val="20"/>
        </w:rPr>
        <w:t>/1</w:t>
      </w:r>
      <w:r>
        <w:rPr>
          <w:rFonts w:cs="Calibri"/>
          <w:sz w:val="20"/>
        </w:rPr>
        <w:t>3</w:t>
      </w:r>
      <w:r w:rsidRPr="007E2BF2">
        <w:rPr>
          <w:rFonts w:cs="Calibri"/>
          <w:sz w:val="20"/>
        </w:rPr>
        <w:t>-201</w:t>
      </w:r>
      <w:r>
        <w:rPr>
          <w:rFonts w:cs="Calibri"/>
          <w:sz w:val="20"/>
        </w:rPr>
        <w:t>7</w:t>
      </w:r>
      <w:r w:rsidRPr="007E2BF2">
        <w:rPr>
          <w:rFonts w:cs="Calibri"/>
          <w:sz w:val="20"/>
        </w:rPr>
        <w:t>/1</w:t>
      </w:r>
      <w:r>
        <w:rPr>
          <w:rFonts w:cs="Calibri"/>
          <w:sz w:val="20"/>
        </w:rPr>
        <w:t>8</w:t>
      </w:r>
      <w:r w:rsidRPr="007E2BF2">
        <w:rPr>
          <w:rFonts w:cs="Calibri"/>
          <w:sz w:val="20"/>
          <w:vertAlign w:val="superscript"/>
        </w:rPr>
        <w:footnoteReference w:id="12"/>
      </w:r>
    </w:p>
    <w:p w:rsidR="00126779" w:rsidRPr="007E2BF2" w:rsidRDefault="00126779" w:rsidP="00126779">
      <w:pPr>
        <w:jc w:val="center"/>
        <w:rPr>
          <w:rFonts w:cs="Calibri"/>
          <w:sz w:val="20"/>
        </w:rPr>
      </w:pPr>
    </w:p>
    <w:p w:rsidR="00126779" w:rsidRPr="00097DFC" w:rsidRDefault="00126779" w:rsidP="00126779">
      <w:pPr>
        <w:numPr>
          <w:ilvl w:val="0"/>
          <w:numId w:val="2"/>
        </w:numPr>
        <w:spacing w:after="200" w:line="276" w:lineRule="auto"/>
        <w:ind w:left="567" w:hanging="567"/>
        <w:jc w:val="both"/>
        <w:rPr>
          <w:rFonts w:eastAsia="Calibri" w:cs="Times New Roman"/>
          <w:szCs w:val="22"/>
        </w:rPr>
      </w:pPr>
      <w:r>
        <w:rPr>
          <w:rFonts w:eastAsia="Calibri" w:cs="Calibri"/>
          <w:color w:val="000000"/>
          <w:szCs w:val="22"/>
        </w:rPr>
        <w:t xml:space="preserve">As Table 6 </w:t>
      </w:r>
      <w:r w:rsidRPr="007E2BF2">
        <w:rPr>
          <w:rFonts w:eastAsia="Calibri" w:cs="Calibri"/>
          <w:color w:val="000000"/>
          <w:szCs w:val="22"/>
        </w:rPr>
        <w:t xml:space="preserve">shows, there </w:t>
      </w:r>
      <w:r>
        <w:rPr>
          <w:rFonts w:eastAsia="Calibri" w:cs="Calibri"/>
          <w:color w:val="000000"/>
          <w:szCs w:val="22"/>
        </w:rPr>
        <w:t>was an extremely slight increase in</w:t>
      </w:r>
      <w:r w:rsidRPr="007E2BF2">
        <w:rPr>
          <w:rFonts w:eastAsia="Calibri" w:cs="Calibri"/>
          <w:color w:val="000000"/>
          <w:szCs w:val="22"/>
        </w:rPr>
        <w:t xml:space="preserve"> the proportion of A1 retail uses at ground floor level</w:t>
      </w:r>
      <w:r>
        <w:rPr>
          <w:rFonts w:eastAsia="Calibri" w:cs="Calibri"/>
          <w:color w:val="000000"/>
          <w:szCs w:val="22"/>
        </w:rPr>
        <w:t xml:space="preserve"> in the city centre during the 2017/18 monitoring year. In gross numbers of units, a dramatic increase in A1 provision arrived in October 2017 with the opening of the newly renovated and expanded Westgate Shopping Centre. However, the retail shopping frontage policies refer to frontages by highlighting them on the Proposals Map. The Proposals Map only identifies primary shopping frontage according to the layout of the old Westgate Shopping Centre, and as such, the bulk of new A1 units delivered in the expanded development beyond the North Arcade are not able to be included in the calculation. New units in the North Arcade (refurbished/renovated section) of the Westgate are included in the 2017/18 A1 shopping frontage calculation.</w:t>
      </w:r>
    </w:p>
    <w:p w:rsidR="00126779" w:rsidRPr="00512111" w:rsidRDefault="00126779" w:rsidP="00126779">
      <w:pPr>
        <w:numPr>
          <w:ilvl w:val="0"/>
          <w:numId w:val="2"/>
        </w:numPr>
        <w:spacing w:after="200" w:line="276" w:lineRule="auto"/>
        <w:ind w:left="567" w:hanging="567"/>
        <w:jc w:val="both"/>
        <w:rPr>
          <w:rFonts w:eastAsia="Calibri" w:cs="Times New Roman"/>
          <w:szCs w:val="22"/>
        </w:rPr>
      </w:pPr>
      <w:r w:rsidRPr="00512111">
        <w:rPr>
          <w:rFonts w:eastAsia="Calibri" w:cs="Times New Roman"/>
          <w:szCs w:val="22"/>
        </w:rPr>
        <w:t xml:space="preserve">Increases in proportion of A1 retail units were found in </w:t>
      </w:r>
      <w:proofErr w:type="spellStart"/>
      <w:r w:rsidRPr="00512111">
        <w:rPr>
          <w:rFonts w:eastAsia="Calibri" w:cs="Times New Roman"/>
          <w:szCs w:val="22"/>
        </w:rPr>
        <w:t>Cowley</w:t>
      </w:r>
      <w:proofErr w:type="spellEnd"/>
      <w:r w:rsidRPr="00512111">
        <w:rPr>
          <w:rFonts w:eastAsia="Calibri" w:cs="Times New Roman"/>
          <w:szCs w:val="22"/>
        </w:rPr>
        <w:t xml:space="preserve"> Centre and in Headington, whilst East Oxford-</w:t>
      </w:r>
      <w:proofErr w:type="spellStart"/>
      <w:r w:rsidRPr="00512111">
        <w:rPr>
          <w:rFonts w:eastAsia="Calibri" w:cs="Times New Roman"/>
          <w:szCs w:val="22"/>
        </w:rPr>
        <w:t>Cowley</w:t>
      </w:r>
      <w:proofErr w:type="spellEnd"/>
      <w:r w:rsidRPr="00512111">
        <w:rPr>
          <w:rFonts w:eastAsia="Calibri" w:cs="Times New Roman"/>
          <w:szCs w:val="22"/>
        </w:rPr>
        <w:t xml:space="preserve"> Road and Summertown each decreased slightly</w:t>
      </w:r>
      <w:proofErr w:type="gramStart"/>
      <w:r w:rsidRPr="00512111">
        <w:rPr>
          <w:rFonts w:eastAsia="Calibri" w:cs="Times New Roman"/>
          <w:szCs w:val="22"/>
        </w:rPr>
        <w:t>..</w:t>
      </w:r>
      <w:proofErr w:type="gramEnd"/>
      <w:r w:rsidRPr="00512111">
        <w:rPr>
          <w:rFonts w:eastAsia="Calibri" w:cs="Times New Roman"/>
          <w:szCs w:val="22"/>
        </w:rPr>
        <w:t xml:space="preserve"> </w:t>
      </w:r>
    </w:p>
    <w:p w:rsidR="00126779" w:rsidRPr="00512111" w:rsidRDefault="00126779" w:rsidP="00126779">
      <w:pPr>
        <w:numPr>
          <w:ilvl w:val="0"/>
          <w:numId w:val="2"/>
        </w:numPr>
        <w:spacing w:after="200" w:line="276" w:lineRule="auto"/>
        <w:ind w:left="567" w:hanging="567"/>
        <w:jc w:val="both"/>
        <w:rPr>
          <w:rFonts w:eastAsia="Calibri" w:cs="Times New Roman"/>
          <w:szCs w:val="22"/>
        </w:rPr>
      </w:pPr>
      <w:r w:rsidRPr="00512111">
        <w:rPr>
          <w:rFonts w:eastAsia="Calibri" w:cs="Times New Roman"/>
          <w:szCs w:val="22"/>
        </w:rPr>
        <w:t xml:space="preserve">In recent years, additional permitted development rights have been introduced by central Government allowing A1 retail uses to change, temporarily or permanently, to other specified uses without the need for planning permission (although prior approval is required in some cases). This means that it is slightly more difficult to control the proportion of A1 retail uses on Oxford’s designated street frontages through the planning system. However, Table 6 indicates that this has not had a significant impact on Oxford’s designated frontages to date. </w:t>
      </w:r>
      <w:r w:rsidR="00436176">
        <w:rPr>
          <w:rFonts w:eastAsia="Calibri" w:cs="Times New Roman"/>
          <w:szCs w:val="22"/>
        </w:rPr>
        <w:t>The emerging Oxford Local Plan 2036 seeks to support the role that town centres play in Oxford and seeks to ensure that a significant retail presence is maintained at the ground floor level of Oxford’s city, district and local centres. The Revis</w:t>
      </w:r>
      <w:r w:rsidR="00AE39EB">
        <w:rPr>
          <w:rFonts w:eastAsia="Calibri" w:cs="Times New Roman"/>
          <w:szCs w:val="22"/>
        </w:rPr>
        <w:t xml:space="preserve">ed NPPF (2018) continues to highlight the importance of the high street however it also highlights that centres should be responsive to changes in retail and leisure industries. </w:t>
      </w:r>
      <w:r w:rsidR="00436176">
        <w:rPr>
          <w:rFonts w:eastAsia="Calibri" w:cs="Times New Roman"/>
          <w:szCs w:val="22"/>
        </w:rPr>
        <w:t xml:space="preserve">The </w:t>
      </w:r>
      <w:r w:rsidR="00AE39EB">
        <w:rPr>
          <w:rFonts w:eastAsia="Calibri" w:cs="Times New Roman"/>
          <w:szCs w:val="22"/>
        </w:rPr>
        <w:t xml:space="preserve">emerging </w:t>
      </w:r>
      <w:r w:rsidR="00436176">
        <w:rPr>
          <w:rFonts w:eastAsia="Calibri" w:cs="Times New Roman"/>
          <w:szCs w:val="22"/>
        </w:rPr>
        <w:t xml:space="preserve">policies remain adaptive to changes in the retail circumstances of Oxford’s centres going forward by taking an evidence based approach to future planning applications. </w:t>
      </w:r>
    </w:p>
    <w:p w:rsidR="00126779" w:rsidRPr="00415330" w:rsidRDefault="00126779" w:rsidP="00126779">
      <w:pPr>
        <w:autoSpaceDE w:val="0"/>
        <w:autoSpaceDN w:val="0"/>
        <w:adjustRightInd w:val="0"/>
        <w:jc w:val="both"/>
        <w:rPr>
          <w:rFonts w:eastAsia="Calibri" w:cs="Calibri"/>
          <w:b/>
          <w:szCs w:val="22"/>
        </w:rPr>
      </w:pPr>
      <w:r w:rsidRPr="00415330">
        <w:rPr>
          <w:rFonts w:eastAsia="Calibri" w:cs="Calibri"/>
          <w:b/>
          <w:szCs w:val="22"/>
        </w:rPr>
        <w:t>Vacancy Rates</w:t>
      </w:r>
    </w:p>
    <w:p w:rsidR="00126779" w:rsidRPr="00415330" w:rsidRDefault="00126779" w:rsidP="00126779">
      <w:pPr>
        <w:numPr>
          <w:ilvl w:val="0"/>
          <w:numId w:val="2"/>
        </w:numPr>
        <w:spacing w:line="276" w:lineRule="auto"/>
        <w:ind w:left="567" w:hanging="567"/>
        <w:jc w:val="both"/>
        <w:rPr>
          <w:rFonts w:eastAsia="Calibri" w:cs="Times New Roman"/>
          <w:szCs w:val="22"/>
        </w:rPr>
      </w:pPr>
      <w:r w:rsidRPr="00415330">
        <w:rPr>
          <w:rFonts w:eastAsia="Calibri" w:cs="Times New Roman"/>
          <w:szCs w:val="22"/>
        </w:rPr>
        <w:lastRenderedPageBreak/>
        <w:t>The proportion of vacant units is a key market indicator used to measure the vitality and viability of city and district centres (Figure 1).</w:t>
      </w:r>
    </w:p>
    <w:p w:rsidR="00126779" w:rsidRPr="007E2BF2" w:rsidRDefault="00126779" w:rsidP="00126779">
      <w:pPr>
        <w:autoSpaceDE w:val="0"/>
        <w:autoSpaceDN w:val="0"/>
        <w:adjustRightInd w:val="0"/>
        <w:rPr>
          <w:rFonts w:eastAsia="Calibri" w:cs="Calibri"/>
          <w:b/>
          <w:color w:val="244061" w:themeColor="accent1" w:themeShade="80"/>
          <w:szCs w:val="22"/>
        </w:rPr>
      </w:pPr>
      <w:r>
        <w:rPr>
          <w:noProof/>
          <w:lang w:eastAsia="en-GB"/>
        </w:rPr>
        <w:drawing>
          <wp:inline distT="0" distB="0" distL="0" distR="0" wp14:anchorId="60A8A126" wp14:editId="403B0C77">
            <wp:extent cx="5731510" cy="3514836"/>
            <wp:effectExtent l="0" t="0" r="2159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6779" w:rsidRPr="007E2BF2" w:rsidRDefault="00126779" w:rsidP="00126779">
      <w:pPr>
        <w:autoSpaceDE w:val="0"/>
        <w:autoSpaceDN w:val="0"/>
        <w:adjustRightInd w:val="0"/>
        <w:jc w:val="center"/>
        <w:rPr>
          <w:rFonts w:eastAsia="Calibri" w:cs="Calibri"/>
          <w:color w:val="244061" w:themeColor="accent1" w:themeShade="80"/>
          <w:szCs w:val="22"/>
        </w:rPr>
      </w:pPr>
      <w:r w:rsidRPr="007E2BF2">
        <w:rPr>
          <w:rFonts w:cs="Calibri"/>
          <w:b/>
          <w:sz w:val="20"/>
          <w:szCs w:val="18"/>
        </w:rPr>
        <w:t xml:space="preserve">Figure </w:t>
      </w:r>
      <w:r>
        <w:rPr>
          <w:rFonts w:eastAsia="Calibri" w:cs="Calibri"/>
          <w:b/>
          <w:color w:val="000000"/>
          <w:sz w:val="20"/>
          <w:szCs w:val="22"/>
        </w:rPr>
        <w:t>1</w:t>
      </w:r>
      <w:r w:rsidRPr="007E2BF2">
        <w:rPr>
          <w:rFonts w:cs="Calibri"/>
          <w:b/>
          <w:sz w:val="20"/>
          <w:szCs w:val="18"/>
        </w:rPr>
        <w:t>:</w:t>
      </w:r>
      <w:r w:rsidRPr="007E2BF2">
        <w:rPr>
          <w:rFonts w:cs="Calibri"/>
          <w:sz w:val="20"/>
        </w:rPr>
        <w:t xml:space="preserve"> Designated retail frontages – proportion of </w:t>
      </w:r>
      <w:r w:rsidRPr="007E2BF2">
        <w:rPr>
          <w:rFonts w:cs="Calibri"/>
          <w:sz w:val="20"/>
          <w:szCs w:val="18"/>
        </w:rPr>
        <w:t>vacant units 201</w:t>
      </w:r>
      <w:r>
        <w:rPr>
          <w:rFonts w:cs="Calibri"/>
          <w:sz w:val="20"/>
          <w:szCs w:val="18"/>
        </w:rPr>
        <w:t>2</w:t>
      </w:r>
      <w:r w:rsidRPr="007E2BF2">
        <w:rPr>
          <w:rFonts w:cs="Calibri"/>
          <w:sz w:val="20"/>
          <w:szCs w:val="18"/>
        </w:rPr>
        <w:t>/1</w:t>
      </w:r>
      <w:r>
        <w:rPr>
          <w:rFonts w:cs="Calibri"/>
          <w:sz w:val="20"/>
          <w:szCs w:val="18"/>
        </w:rPr>
        <w:t>3</w:t>
      </w:r>
      <w:r w:rsidRPr="007E2BF2">
        <w:rPr>
          <w:rFonts w:cs="Calibri"/>
          <w:sz w:val="20"/>
          <w:szCs w:val="18"/>
        </w:rPr>
        <w:t>-201</w:t>
      </w:r>
      <w:r>
        <w:rPr>
          <w:rFonts w:cs="Calibri"/>
          <w:sz w:val="20"/>
          <w:szCs w:val="18"/>
        </w:rPr>
        <w:t>7</w:t>
      </w:r>
      <w:r w:rsidRPr="007E2BF2">
        <w:rPr>
          <w:rFonts w:cs="Calibri"/>
          <w:sz w:val="20"/>
          <w:szCs w:val="18"/>
        </w:rPr>
        <w:t>/1</w:t>
      </w:r>
      <w:r>
        <w:rPr>
          <w:rFonts w:cs="Calibri"/>
          <w:sz w:val="20"/>
          <w:szCs w:val="18"/>
        </w:rPr>
        <w:t>8</w:t>
      </w:r>
      <w:r w:rsidRPr="007E2BF2">
        <w:rPr>
          <w:rFonts w:cs="Calibri"/>
          <w:sz w:val="20"/>
          <w:szCs w:val="18"/>
          <w:vertAlign w:val="superscript"/>
        </w:rPr>
        <w:footnoteReference w:id="13"/>
      </w:r>
    </w:p>
    <w:p w:rsidR="00126779" w:rsidRPr="003B3FE6" w:rsidRDefault="00126779" w:rsidP="00126779">
      <w:pPr>
        <w:autoSpaceDE w:val="0"/>
        <w:autoSpaceDN w:val="0"/>
        <w:adjustRightInd w:val="0"/>
        <w:jc w:val="center"/>
        <w:rPr>
          <w:rFonts w:eastAsia="Calibri" w:cs="Calibri"/>
          <w:szCs w:val="22"/>
        </w:rPr>
      </w:pPr>
    </w:p>
    <w:p w:rsidR="00126779" w:rsidRPr="003B3FE6" w:rsidRDefault="00126779" w:rsidP="00126779">
      <w:pPr>
        <w:numPr>
          <w:ilvl w:val="0"/>
          <w:numId w:val="2"/>
        </w:numPr>
        <w:spacing w:after="200" w:line="276" w:lineRule="auto"/>
        <w:ind w:left="567" w:hanging="567"/>
        <w:jc w:val="both"/>
        <w:rPr>
          <w:rFonts w:eastAsia="Calibri" w:cs="Times New Roman"/>
          <w:szCs w:val="22"/>
        </w:rPr>
      </w:pPr>
      <w:r w:rsidRPr="003B3FE6">
        <w:rPr>
          <w:rFonts w:eastAsia="Calibri" w:cs="Calibri"/>
          <w:szCs w:val="22"/>
        </w:rPr>
        <w:t xml:space="preserve">The opening of the renovated and expanded Westgate Shopping Centre has had the anticipated effect of causing a great deal of flux and churn in the real estate market of the city centre. </w:t>
      </w:r>
      <w:r>
        <w:rPr>
          <w:rFonts w:eastAsia="Calibri" w:cs="Calibri"/>
          <w:szCs w:val="22"/>
        </w:rPr>
        <w:t>Not only has the Westgate brought a host of new retail outlets whose business is having an effect on existing retail outlets, but the influx of newly built units has also caused numerous existing retail occupants to move from their previous Oxford locations into the new Westgate. These forces have manifested themselves in a further year-on-year increase in vacancy rates – breaching the 10% threshold this year. These changes are most visible on Cornmarket Street, Queen Street, and in the Clarendon Centre. At the moment, this churn and shifting is on-going, and until the market settles, long-term retail trends across the city centre cannot be reasonably assessed.</w:t>
      </w:r>
    </w:p>
    <w:p w:rsidR="00126779" w:rsidRDefault="00126779" w:rsidP="00126779">
      <w:pPr>
        <w:numPr>
          <w:ilvl w:val="0"/>
          <w:numId w:val="2"/>
        </w:numPr>
        <w:spacing w:after="200" w:line="276" w:lineRule="auto"/>
        <w:ind w:left="567" w:hanging="567"/>
        <w:jc w:val="both"/>
        <w:rPr>
          <w:rFonts w:eastAsia="Calibri" w:cs="Times New Roman"/>
          <w:szCs w:val="22"/>
        </w:rPr>
      </w:pPr>
      <w:r>
        <w:rPr>
          <w:rFonts w:eastAsia="Calibri" w:cs="Times New Roman"/>
          <w:szCs w:val="22"/>
        </w:rPr>
        <w:t xml:space="preserve">Vacancy rates in </w:t>
      </w:r>
      <w:proofErr w:type="spellStart"/>
      <w:r>
        <w:rPr>
          <w:rFonts w:eastAsia="Calibri" w:cs="Times New Roman"/>
          <w:szCs w:val="22"/>
        </w:rPr>
        <w:t>Cowley</w:t>
      </w:r>
      <w:proofErr w:type="spellEnd"/>
      <w:r>
        <w:rPr>
          <w:rFonts w:eastAsia="Calibri" w:cs="Times New Roman"/>
          <w:szCs w:val="22"/>
        </w:rPr>
        <w:t xml:space="preserve"> Centre and Summertown held steady, whilst drops of over 2% were achieved in both East Oxford-</w:t>
      </w:r>
      <w:proofErr w:type="spellStart"/>
      <w:r>
        <w:rPr>
          <w:rFonts w:eastAsia="Calibri" w:cs="Times New Roman"/>
          <w:szCs w:val="22"/>
        </w:rPr>
        <w:t>Cowley</w:t>
      </w:r>
      <w:proofErr w:type="spellEnd"/>
      <w:r>
        <w:rPr>
          <w:rFonts w:eastAsia="Calibri" w:cs="Times New Roman"/>
          <w:szCs w:val="22"/>
        </w:rPr>
        <w:t xml:space="preserve"> Road and in Headington. The drop is an especially positive result in East Oxford-</w:t>
      </w:r>
      <w:proofErr w:type="spellStart"/>
      <w:r>
        <w:rPr>
          <w:rFonts w:eastAsia="Calibri" w:cs="Times New Roman"/>
          <w:szCs w:val="22"/>
        </w:rPr>
        <w:t>Cowley</w:t>
      </w:r>
      <w:proofErr w:type="spellEnd"/>
      <w:r>
        <w:rPr>
          <w:rFonts w:eastAsia="Calibri" w:cs="Times New Roman"/>
          <w:szCs w:val="22"/>
        </w:rPr>
        <w:t xml:space="preserve"> Road, where vacancy rates had been trending upwards over several years. </w:t>
      </w:r>
      <w:proofErr w:type="spellStart"/>
      <w:r>
        <w:rPr>
          <w:rFonts w:eastAsia="Calibri" w:cs="Times New Roman"/>
          <w:szCs w:val="22"/>
        </w:rPr>
        <w:t>Cowley</w:t>
      </w:r>
      <w:proofErr w:type="spellEnd"/>
      <w:r>
        <w:rPr>
          <w:rFonts w:eastAsia="Calibri" w:cs="Times New Roman"/>
          <w:szCs w:val="22"/>
        </w:rPr>
        <w:t xml:space="preserve"> Centre will require special attention over the next years as a regeneration and expansion project gets underway that will increase retail space, the local residential population, and the supply of short-term accommodation. Consideration of the impact of the redevelopment works upon retail performance will be required.</w:t>
      </w:r>
    </w:p>
    <w:p w:rsidR="0070297F" w:rsidRDefault="0070297F" w:rsidP="00126779">
      <w:pPr>
        <w:spacing w:after="200" w:line="276" w:lineRule="auto"/>
        <w:ind w:left="567"/>
        <w:jc w:val="both"/>
        <w:rPr>
          <w:rFonts w:eastAsia="Calibri" w:cs="Times New Roman"/>
          <w:szCs w:val="22"/>
        </w:rPr>
      </w:pPr>
    </w:p>
    <w:p w:rsidR="0070297F" w:rsidRDefault="0070297F" w:rsidP="00126779">
      <w:pPr>
        <w:spacing w:after="200" w:line="276" w:lineRule="auto"/>
        <w:ind w:left="567"/>
        <w:jc w:val="both"/>
        <w:rPr>
          <w:rFonts w:eastAsia="Calibri" w:cs="Times New Roman"/>
          <w:szCs w:val="22"/>
        </w:rPr>
      </w:pPr>
    </w:p>
    <w:p w:rsidR="00421A3D" w:rsidRDefault="00421A3D" w:rsidP="00126779">
      <w:pPr>
        <w:spacing w:after="200" w:line="276" w:lineRule="auto"/>
        <w:ind w:left="567"/>
        <w:jc w:val="both"/>
        <w:rPr>
          <w:rFonts w:eastAsia="Calibri" w:cs="Times New Roman"/>
          <w:szCs w:val="22"/>
        </w:rPr>
      </w:pPr>
    </w:p>
    <w:p w:rsidR="00126779" w:rsidRPr="00A56BD4" w:rsidRDefault="00126779" w:rsidP="00126779">
      <w:pPr>
        <w:spacing w:after="200" w:line="276" w:lineRule="auto"/>
        <w:ind w:left="567"/>
        <w:jc w:val="both"/>
        <w:rPr>
          <w:rFonts w:eastAsia="Calibri" w:cs="Times New Roman"/>
          <w:szCs w:val="22"/>
        </w:rPr>
      </w:pPr>
      <w:r w:rsidRPr="001429FA">
        <w:rPr>
          <w:rFonts w:asciiTheme="minorHAnsi" w:eastAsia="Calibri" w:hAnsiTheme="minorHAnsi" w:cs="Calibri"/>
          <w:noProof/>
          <w:color w:val="FF0000"/>
          <w:sz w:val="8"/>
          <w:szCs w:val="22"/>
          <w:lang w:eastAsia="en-GB"/>
        </w:rPr>
        <mc:AlternateContent>
          <mc:Choice Requires="wps">
            <w:drawing>
              <wp:anchor distT="0" distB="0" distL="114300" distR="114300" simplePos="0" relativeHeight="251662336" behindDoc="1" locked="0" layoutInCell="1" allowOverlap="1" wp14:anchorId="0F40B986" wp14:editId="411A0938">
                <wp:simplePos x="0" y="0"/>
                <wp:positionH relativeFrom="column">
                  <wp:posOffset>-53340</wp:posOffset>
                </wp:positionH>
                <wp:positionV relativeFrom="paragraph">
                  <wp:posOffset>292735</wp:posOffset>
                </wp:positionV>
                <wp:extent cx="5857875" cy="1310005"/>
                <wp:effectExtent l="0" t="0" r="9525" b="4445"/>
                <wp:wrapNone/>
                <wp:docPr id="134" name="Rectangle 134"/>
                <wp:cNvGraphicFramePr/>
                <a:graphic xmlns:a="http://schemas.openxmlformats.org/drawingml/2006/main">
                  <a:graphicData uri="http://schemas.microsoft.com/office/word/2010/wordprocessingShape">
                    <wps:wsp>
                      <wps:cNvSpPr/>
                      <wps:spPr>
                        <a:xfrm>
                          <a:off x="0" y="0"/>
                          <a:ext cx="5857875" cy="131000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16FEA6" id="Rectangle 134" o:spid="_x0000_s1026" style="position:absolute;margin-left:-4.2pt;margin-top:23.05pt;width:461.25pt;height:10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" fillcolor="#dbeef4" stroked="f" strokeweight="2pt"/>
            </w:pict>
          </mc:Fallback>
        </mc:AlternateContent>
      </w:r>
    </w:p>
    <w:p w:rsidR="00126779" w:rsidRPr="007E2BF2" w:rsidRDefault="00126779" w:rsidP="00126779">
      <w:pPr>
        <w:outlineLvl w:val="1"/>
        <w:rPr>
          <w:rFonts w:asciiTheme="minorHAnsi" w:hAnsiTheme="minorHAnsi"/>
          <w:b/>
          <w:sz w:val="24"/>
          <w:lang w:eastAsia="en-GB"/>
        </w:rPr>
      </w:pPr>
      <w:bookmarkStart w:id="11" w:name="_Toc529178341"/>
      <w:r w:rsidRPr="007E2BF2">
        <w:rPr>
          <w:rFonts w:asciiTheme="minorHAnsi" w:hAnsiTheme="minorHAnsi"/>
          <w:b/>
          <w:sz w:val="24"/>
          <w:lang w:eastAsia="en-GB"/>
        </w:rPr>
        <w:t>Indicator 6: SUPPLY OF SHORT STAY ACCOMMODATION</w:t>
      </w:r>
      <w:bookmarkEnd w:id="11"/>
    </w:p>
    <w:p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rsidR="00126779" w:rsidRPr="007E2BF2" w:rsidRDefault="00126779" w:rsidP="00126779">
      <w:pPr>
        <w:tabs>
          <w:tab w:val="left" w:pos="851"/>
        </w:tabs>
        <w:autoSpaceDE w:val="0"/>
        <w:autoSpaceDN w:val="0"/>
        <w:adjustRightInd w:val="0"/>
        <w:ind w:left="851" w:hanging="851"/>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Net growth in short-stay accommodation bedrooms </w:t>
      </w:r>
      <w:r w:rsidRPr="007E2BF2">
        <w:rPr>
          <w:rFonts w:eastAsia="Calibri" w:cs="Calibri"/>
          <w:color w:val="244061" w:themeColor="accent1" w:themeShade="80"/>
          <w:sz w:val="20"/>
          <w:szCs w:val="22"/>
        </w:rPr>
        <w:t>(Oxford Core Strategy Policy CS32)</w:t>
      </w:r>
    </w:p>
    <w:p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126779" w:rsidRPr="007E2BF2" w:rsidTr="00126779">
        <w:trPr>
          <w:trHeight w:val="218"/>
        </w:trPr>
        <w:tc>
          <w:tcPr>
            <w:tcW w:w="5374" w:type="dxa"/>
          </w:tcPr>
          <w:p w:rsidR="00126779" w:rsidRPr="007E2BF2" w:rsidRDefault="00126779" w:rsidP="00126779">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w:t>
            </w:r>
            <w:r>
              <w:rPr>
                <w:rFonts w:ascii="Arial" w:eastAsia="Calibri" w:hAnsi="Arial" w:cs="Calibri"/>
                <w:b/>
                <w:color w:val="244061" w:themeColor="accent1" w:themeShade="80"/>
                <w:sz w:val="20"/>
                <w:szCs w:val="22"/>
              </w:rPr>
              <w:t>7</w:t>
            </w:r>
            <w:r w:rsidRPr="007E2BF2">
              <w:rPr>
                <w:rFonts w:ascii="Arial" w:eastAsia="Calibri" w:hAnsi="Arial" w:cs="Calibri"/>
                <w:b/>
                <w:color w:val="244061" w:themeColor="accent1" w:themeShade="80"/>
                <w:sz w:val="20"/>
                <w:szCs w:val="22"/>
              </w:rPr>
              <w:t>/1</w:t>
            </w:r>
            <w:r>
              <w:rPr>
                <w:rFonts w:ascii="Arial" w:eastAsia="Calibri" w:hAnsi="Arial" w:cs="Calibri"/>
                <w:b/>
                <w:color w:val="244061" w:themeColor="accent1" w:themeShade="80"/>
                <w:sz w:val="20"/>
                <w:szCs w:val="22"/>
              </w:rPr>
              <w:t>8</w:t>
            </w:r>
            <w:r w:rsidRPr="007E2BF2">
              <w:rPr>
                <w:rFonts w:ascii="Arial" w:eastAsia="Calibri" w:hAnsi="Arial" w:cs="Calibri"/>
                <w:b/>
                <w:color w:val="244061" w:themeColor="accent1" w:themeShade="80"/>
                <w:sz w:val="20"/>
                <w:szCs w:val="22"/>
              </w:rPr>
              <w:t>:</w:t>
            </w:r>
          </w:p>
        </w:tc>
        <w:tc>
          <w:tcPr>
            <w:tcW w:w="3760" w:type="dxa"/>
            <w:gridSpan w:val="2"/>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tc>
      </w:tr>
      <w:tr w:rsidR="00126779" w:rsidRPr="007E2BF2" w:rsidTr="00126779">
        <w:tc>
          <w:tcPr>
            <w:tcW w:w="5374" w:type="dxa"/>
            <w:vMerge w:val="restart"/>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8"/>
              </w:rPr>
            </w:pP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3A48492A" wp14:editId="022BA84D">
                  <wp:extent cx="1388853" cy="418201"/>
                  <wp:effectExtent l="0" t="0" r="1905" b="1270"/>
                  <wp:docPr id="165" name="Picture 1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w:t>
            </w:r>
            <w:r>
              <w:rPr>
                <w:rFonts w:ascii="Arial" w:eastAsia="Calibri" w:hAnsi="Arial" w:cs="Calibri"/>
                <w:b/>
                <w:color w:val="244061" w:themeColor="accent1" w:themeShade="80"/>
                <w:sz w:val="20"/>
                <w:szCs w:val="22"/>
              </w:rPr>
              <w:t>6</w:t>
            </w:r>
            <w:r w:rsidRPr="007E2BF2">
              <w:rPr>
                <w:rFonts w:ascii="Arial" w:eastAsia="Calibri" w:hAnsi="Arial" w:cs="Calibri"/>
                <w:b/>
                <w:color w:val="244061" w:themeColor="accent1" w:themeShade="80"/>
                <w:sz w:val="20"/>
                <w:szCs w:val="22"/>
              </w:rPr>
              <w:t>/1</w:t>
            </w:r>
            <w:r>
              <w:rPr>
                <w:rFonts w:ascii="Arial" w:eastAsia="Calibri" w:hAnsi="Arial" w:cs="Calibri"/>
                <w:b/>
                <w:color w:val="244061" w:themeColor="accent1" w:themeShade="80"/>
                <w:sz w:val="20"/>
                <w:szCs w:val="22"/>
              </w:rPr>
              <w:t>7</w:t>
            </w:r>
            <w:r w:rsidRPr="007E2BF2">
              <w:rPr>
                <w:rFonts w:ascii="Arial" w:eastAsia="Calibri" w:hAnsi="Arial" w:cs="Calibri"/>
                <w:b/>
                <w:color w:val="244061" w:themeColor="accent1" w:themeShade="80"/>
                <w:sz w:val="20"/>
                <w:szCs w:val="22"/>
              </w:rPr>
              <w:t>:</w:t>
            </w:r>
          </w:p>
        </w:tc>
        <w:tc>
          <w:tcPr>
            <w:tcW w:w="2596"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5FE455DB" wp14:editId="55BEA221">
                  <wp:extent cx="819150" cy="256182"/>
                  <wp:effectExtent l="0" t="0" r="0" b="0"/>
                  <wp:docPr id="168" name="Picture 1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8"/>
                <w:szCs w:val="8"/>
              </w:rPr>
            </w:pPr>
          </w:p>
        </w:tc>
      </w:tr>
      <w:tr w:rsidR="00126779" w:rsidRPr="007E2BF2" w:rsidTr="00126779">
        <w:tc>
          <w:tcPr>
            <w:tcW w:w="5374" w:type="dxa"/>
            <w:vMerge/>
          </w:tcPr>
          <w:p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64"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w:t>
            </w:r>
            <w:r>
              <w:rPr>
                <w:rFonts w:ascii="Arial" w:eastAsia="Calibri" w:hAnsi="Arial" w:cs="Calibri"/>
                <w:b/>
                <w:color w:val="244061" w:themeColor="accent1" w:themeShade="80"/>
                <w:sz w:val="20"/>
                <w:szCs w:val="22"/>
              </w:rPr>
              <w:t>5</w:t>
            </w:r>
            <w:r w:rsidRPr="007E2BF2">
              <w:rPr>
                <w:rFonts w:ascii="Arial" w:eastAsia="Calibri" w:hAnsi="Arial" w:cs="Calibri"/>
                <w:b/>
                <w:color w:val="244061" w:themeColor="accent1" w:themeShade="80"/>
                <w:sz w:val="20"/>
                <w:szCs w:val="22"/>
              </w:rPr>
              <w:t>/1</w:t>
            </w:r>
            <w:r>
              <w:rPr>
                <w:rFonts w:ascii="Arial" w:eastAsia="Calibri" w:hAnsi="Arial" w:cs="Calibri"/>
                <w:b/>
                <w:color w:val="244061" w:themeColor="accent1" w:themeShade="80"/>
                <w:sz w:val="20"/>
                <w:szCs w:val="22"/>
              </w:rPr>
              <w:t>6</w:t>
            </w:r>
            <w:r w:rsidRPr="007E2BF2">
              <w:rPr>
                <w:rFonts w:ascii="Arial" w:eastAsia="Calibri" w:hAnsi="Arial" w:cs="Calibri"/>
                <w:b/>
                <w:color w:val="244061" w:themeColor="accent1" w:themeShade="80"/>
                <w:sz w:val="20"/>
                <w:szCs w:val="22"/>
              </w:rPr>
              <w:t>:</w:t>
            </w:r>
          </w:p>
        </w:tc>
        <w:tc>
          <w:tcPr>
            <w:tcW w:w="2596" w:type="dxa"/>
          </w:tcPr>
          <w:p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0D5EA83A" wp14:editId="0368838E">
                  <wp:extent cx="819150" cy="256182"/>
                  <wp:effectExtent l="0" t="0" r="0" b="0"/>
                  <wp:docPr id="169" name="Picture 1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7E2BF2" w:rsidRDefault="00126779" w:rsidP="00126779">
      <w:pPr>
        <w:spacing w:line="276" w:lineRule="auto"/>
        <w:jc w:val="both"/>
        <w:rPr>
          <w:rFonts w:cs="Calibri"/>
          <w:szCs w:val="22"/>
        </w:rPr>
      </w:pPr>
    </w:p>
    <w:p w:rsidR="00126779" w:rsidRPr="009437EA" w:rsidRDefault="00126779" w:rsidP="00126779">
      <w:pPr>
        <w:numPr>
          <w:ilvl w:val="0"/>
          <w:numId w:val="2"/>
        </w:numPr>
        <w:spacing w:after="200" w:line="276" w:lineRule="auto"/>
        <w:ind w:left="567" w:hanging="567"/>
        <w:jc w:val="both"/>
        <w:rPr>
          <w:rFonts w:cs="Calibri"/>
          <w:b/>
          <w:sz w:val="20"/>
        </w:rPr>
      </w:pPr>
      <w:r w:rsidRPr="009437EA">
        <w:rPr>
          <w:rFonts w:eastAsia="Calibri" w:cs="Times New Roman"/>
          <w:szCs w:val="22"/>
        </w:rPr>
        <w:t>Tourism is a key part of Oxford’s economy and the city receives a large number of visitors each year. The Core Strategy seeks to support sustainable tourism by encouraging longer stays and greater spend in the city by increasing the amount and range of short-stay accommodation available. In the 2017/18 monitoring year planning permission was granted for 298 (net) short stay accommodation bedrooms in Oxford. This is a positive increase upon the previous monitoring year, and there exists continued interest in the market to bring forward further development proposals for hotels in the city.</w:t>
      </w:r>
    </w:p>
    <w:p w:rsidR="00126779" w:rsidRPr="009437EA" w:rsidRDefault="00126779" w:rsidP="00126779">
      <w:pPr>
        <w:numPr>
          <w:ilvl w:val="0"/>
          <w:numId w:val="2"/>
        </w:numPr>
        <w:spacing w:before="60" w:line="276" w:lineRule="auto"/>
        <w:ind w:left="567" w:hanging="567"/>
        <w:jc w:val="both"/>
        <w:rPr>
          <w:rFonts w:cs="Calibri"/>
          <w:b/>
          <w:sz w:val="20"/>
        </w:rPr>
      </w:pPr>
      <w:r>
        <w:rPr>
          <w:rFonts w:eastAsia="Calibri" w:cs="Times New Roman"/>
          <w:szCs w:val="22"/>
        </w:rPr>
        <w:t>Three permissions are delivering the bulk of the prospective short-stay accommodation:</w:t>
      </w:r>
    </w:p>
    <w:p w:rsidR="00126779" w:rsidRPr="00F94CFC" w:rsidRDefault="00126779" w:rsidP="00126779">
      <w:pPr>
        <w:pStyle w:val="ListParagraph"/>
        <w:numPr>
          <w:ilvl w:val="0"/>
          <w:numId w:val="4"/>
        </w:numPr>
        <w:spacing w:before="60" w:line="276" w:lineRule="auto"/>
        <w:jc w:val="both"/>
        <w:rPr>
          <w:rFonts w:cs="Calibri"/>
          <w:b/>
          <w:sz w:val="20"/>
        </w:rPr>
      </w:pPr>
      <w:r w:rsidRPr="009437EA">
        <w:rPr>
          <w:rFonts w:eastAsia="Calibri" w:cs="Times New Roman"/>
          <w:szCs w:val="22"/>
        </w:rPr>
        <w:t xml:space="preserve">140 bedrooms at </w:t>
      </w:r>
      <w:proofErr w:type="spellStart"/>
      <w:r w:rsidRPr="009437EA">
        <w:rPr>
          <w:rFonts w:eastAsia="Calibri" w:cs="Times New Roman"/>
          <w:szCs w:val="22"/>
        </w:rPr>
        <w:t>Unither</w:t>
      </w:r>
      <w:proofErr w:type="spellEnd"/>
      <w:r w:rsidRPr="009437EA">
        <w:rPr>
          <w:rFonts w:eastAsia="Calibri" w:cs="Times New Roman"/>
          <w:szCs w:val="22"/>
        </w:rPr>
        <w:t xml:space="preserve"> House, Paradise Street (16/02689/FUL)</w:t>
      </w:r>
    </w:p>
    <w:p w:rsidR="00126779" w:rsidRPr="00F94CFC" w:rsidRDefault="00126779" w:rsidP="00126779">
      <w:pPr>
        <w:pStyle w:val="ListParagraph"/>
        <w:numPr>
          <w:ilvl w:val="0"/>
          <w:numId w:val="4"/>
        </w:numPr>
        <w:spacing w:before="60" w:line="276" w:lineRule="auto"/>
        <w:jc w:val="both"/>
        <w:rPr>
          <w:rFonts w:cs="Calibri"/>
          <w:b/>
          <w:sz w:val="20"/>
        </w:rPr>
      </w:pPr>
      <w:r w:rsidRPr="00F94CFC">
        <w:rPr>
          <w:rFonts w:eastAsia="Calibri" w:cs="Times New Roman"/>
          <w:szCs w:val="22"/>
        </w:rPr>
        <w:t xml:space="preserve">90 bedrooms at </w:t>
      </w:r>
      <w:proofErr w:type="spellStart"/>
      <w:r w:rsidRPr="00F94CFC">
        <w:rPr>
          <w:rFonts w:eastAsia="Calibri" w:cs="Times New Roman"/>
          <w:szCs w:val="22"/>
        </w:rPr>
        <w:t>Greyfriars</w:t>
      </w:r>
      <w:proofErr w:type="spellEnd"/>
      <w:r w:rsidRPr="00F94CFC">
        <w:rPr>
          <w:rFonts w:eastAsia="Calibri" w:cs="Times New Roman"/>
          <w:szCs w:val="22"/>
        </w:rPr>
        <w:t xml:space="preserve"> Court, Paradise Square (</w:t>
      </w:r>
      <w:r w:rsidRPr="00F94CFC">
        <w:rPr>
          <w:rFonts w:eastAsia="Times New Roman" w:cs="Times New Roman"/>
          <w:color w:val="000000"/>
          <w:szCs w:val="22"/>
          <w:lang w:eastAsia="en-GB"/>
        </w:rPr>
        <w:t>17/00860/FUL)</w:t>
      </w:r>
    </w:p>
    <w:p w:rsidR="00126779" w:rsidRPr="008A22C6" w:rsidRDefault="00126779" w:rsidP="00126779">
      <w:pPr>
        <w:pStyle w:val="ListParagraph"/>
        <w:numPr>
          <w:ilvl w:val="0"/>
          <w:numId w:val="4"/>
        </w:numPr>
        <w:spacing w:before="60" w:line="276" w:lineRule="auto"/>
        <w:jc w:val="both"/>
      </w:pPr>
      <w:r w:rsidRPr="00F94CFC">
        <w:rPr>
          <w:rFonts w:eastAsia="Times New Roman" w:cs="Times New Roman"/>
          <w:color w:val="000000"/>
          <w:szCs w:val="22"/>
          <w:lang w:eastAsia="en-GB"/>
        </w:rPr>
        <w:t xml:space="preserve">64 bedrooms at Holiday Inn, </w:t>
      </w:r>
      <w:proofErr w:type="spellStart"/>
      <w:r w:rsidRPr="00F94CFC">
        <w:rPr>
          <w:rFonts w:eastAsia="Times New Roman" w:cs="Times New Roman"/>
          <w:color w:val="000000"/>
          <w:szCs w:val="22"/>
          <w:lang w:eastAsia="en-GB"/>
        </w:rPr>
        <w:t>Peartree</w:t>
      </w:r>
      <w:proofErr w:type="spellEnd"/>
      <w:r w:rsidRPr="00F94CFC">
        <w:rPr>
          <w:rFonts w:eastAsia="Times New Roman" w:cs="Times New Roman"/>
          <w:color w:val="000000"/>
          <w:szCs w:val="22"/>
          <w:lang w:eastAsia="en-GB"/>
        </w:rPr>
        <w:t xml:space="preserve"> Roundabout (17/02762/FUL)</w:t>
      </w:r>
    </w:p>
    <w:p w:rsidR="00E906EC" w:rsidRDefault="00E906EC" w:rsidP="008A22C6"/>
    <w:p w:rsidR="00126779" w:rsidRDefault="00126779" w:rsidP="008A22C6"/>
    <w:p w:rsidR="00126779" w:rsidRDefault="00126779" w:rsidP="008A22C6"/>
    <w:p w:rsidR="00126779" w:rsidRDefault="00126779" w:rsidP="008A22C6"/>
    <w:p w:rsidR="00126779" w:rsidRDefault="00126779" w:rsidP="008A22C6"/>
    <w:p w:rsidR="00126779" w:rsidRDefault="00126779" w:rsidP="008A22C6"/>
    <w:p w:rsidR="00126779" w:rsidRDefault="00126779" w:rsidP="008A22C6"/>
    <w:p w:rsidR="00126779" w:rsidRDefault="00126779" w:rsidP="008A22C6"/>
    <w:p w:rsidR="00126779" w:rsidRDefault="00126779" w:rsidP="008A22C6"/>
    <w:p w:rsidR="00126779" w:rsidRDefault="00126779" w:rsidP="008A22C6"/>
    <w:p w:rsidR="00126779" w:rsidRDefault="00126779" w:rsidP="008A22C6"/>
    <w:tbl>
      <w:tblPr>
        <w:tblStyle w:val="TableGrid24"/>
        <w:tblW w:w="0" w:type="auto"/>
        <w:tblLook w:val="04A0" w:firstRow="1" w:lastRow="0" w:firstColumn="1" w:lastColumn="0" w:noHBand="0" w:noVBand="1"/>
      </w:tblPr>
      <w:tblGrid>
        <w:gridCol w:w="9242"/>
      </w:tblGrid>
      <w:tr w:rsidR="00126779" w:rsidRPr="00351DD4" w:rsidTr="00126779">
        <w:tc>
          <w:tcPr>
            <w:tcW w:w="9242" w:type="dxa"/>
            <w:tcBorders>
              <w:top w:val="nil"/>
              <w:left w:val="nil"/>
              <w:bottom w:val="nil"/>
              <w:right w:val="nil"/>
            </w:tcBorders>
            <w:shd w:val="clear" w:color="auto" w:fill="auto"/>
          </w:tcPr>
          <w:p w:rsidR="00126779" w:rsidRPr="00351DD4" w:rsidRDefault="00126779" w:rsidP="00126779">
            <w:pPr>
              <w:keepNext/>
              <w:keepLines/>
              <w:outlineLvl w:val="0"/>
              <w:rPr>
                <w:rFonts w:asciiTheme="minorHAnsi" w:eastAsia="Calibri" w:hAnsiTheme="minorHAnsi" w:cstheme="majorBidi"/>
                <w:b/>
                <w:bCs/>
                <w:sz w:val="32"/>
                <w:szCs w:val="28"/>
              </w:rPr>
            </w:pPr>
            <w:bookmarkStart w:id="12" w:name="_Toc529178342"/>
            <w:r w:rsidRPr="00351DD4">
              <w:rPr>
                <w:rFonts w:asciiTheme="minorHAnsi" w:eastAsia="Calibri" w:hAnsiTheme="minorHAnsi" w:cstheme="majorBidi"/>
                <w:b/>
                <w:bCs/>
                <w:sz w:val="32"/>
                <w:szCs w:val="28"/>
              </w:rPr>
              <w:lastRenderedPageBreak/>
              <w:t>Meeting Housing Needs</w:t>
            </w:r>
            <w:bookmarkEnd w:id="12"/>
            <w:r w:rsidRPr="00351DD4">
              <w:rPr>
                <w:rFonts w:asciiTheme="minorHAnsi" w:eastAsia="Calibri" w:hAnsiTheme="minorHAnsi" w:cstheme="majorBidi"/>
                <w:b/>
                <w:bCs/>
                <w:sz w:val="32"/>
                <w:szCs w:val="28"/>
              </w:rPr>
              <w:t xml:space="preserve"> </w:t>
            </w:r>
          </w:p>
          <w:tbl>
            <w:tblPr>
              <w:tblStyle w:val="TableGrid24"/>
              <w:tblW w:w="0" w:type="auto"/>
              <w:tblLook w:val="04A0" w:firstRow="1" w:lastRow="0" w:firstColumn="1" w:lastColumn="0" w:noHBand="0" w:noVBand="1"/>
            </w:tblPr>
            <w:tblGrid>
              <w:gridCol w:w="3510"/>
              <w:gridCol w:w="5516"/>
            </w:tblGrid>
            <w:tr w:rsidR="00126779" w:rsidRPr="00351DD4" w:rsidTr="00126779">
              <w:tc>
                <w:tcPr>
                  <w:tcW w:w="9242" w:type="dxa"/>
                  <w:gridSpan w:val="2"/>
                  <w:tcBorders>
                    <w:top w:val="nil"/>
                    <w:left w:val="nil"/>
                    <w:bottom w:val="single" w:sz="4" w:space="0" w:color="D9D9D9" w:themeColor="background1" w:themeShade="D9"/>
                    <w:right w:val="nil"/>
                  </w:tcBorders>
                  <w:shd w:val="clear" w:color="auto" w:fill="D66508"/>
                </w:tcPr>
                <w:p w:rsidR="00126779" w:rsidRPr="00351DD4" w:rsidRDefault="00126779" w:rsidP="00126779">
                  <w:pPr>
                    <w:spacing w:before="120"/>
                    <w:ind w:left="993" w:hanging="993"/>
                    <w:rPr>
                      <w:rFonts w:eastAsia="Calibri" w:cs="Calibri"/>
                      <w:b/>
                      <w:noProof/>
                      <w:color w:val="FFFFFF" w:themeColor="background1"/>
                      <w:lang w:eastAsia="en-GB"/>
                    </w:rPr>
                  </w:pPr>
                  <w:r w:rsidRPr="00351DD4">
                    <w:rPr>
                      <w:rFonts w:eastAsia="Calibri" w:cs="Calibri"/>
                      <w:noProof/>
                      <w:color w:val="FFFFFF" w:themeColor="background1"/>
                      <w:lang w:eastAsia="en-GB"/>
                    </w:rPr>
                    <w:t>Ambition:</w:t>
                  </w:r>
                  <w:r w:rsidRPr="00351DD4">
                    <w:rPr>
                      <w:rFonts w:eastAsia="Calibri" w:cs="Calibri"/>
                      <w:b/>
                      <w:noProof/>
                      <w:color w:val="FFFFFF" w:themeColor="background1"/>
                      <w:lang w:eastAsia="en-GB"/>
                    </w:rPr>
                    <w:t xml:space="preserve"> Improving Oxford residents’ access to affordable and high-quality homes in good environments that are close to jobs and facilities.</w:t>
                  </w:r>
                </w:p>
                <w:p w:rsidR="00126779" w:rsidRPr="00351DD4" w:rsidRDefault="00126779" w:rsidP="00126779">
                  <w:pPr>
                    <w:spacing w:before="120"/>
                    <w:ind w:left="993" w:hanging="993"/>
                    <w:rPr>
                      <w:rFonts w:eastAsia="Calibri" w:cs="Calibri"/>
                      <w:b/>
                      <w:noProof/>
                      <w:color w:val="FFFFFF" w:themeColor="background1"/>
                      <w:sz w:val="4"/>
                      <w:szCs w:val="4"/>
                      <w:highlight w:val="yellow"/>
                      <w:lang w:eastAsia="en-GB"/>
                    </w:rPr>
                  </w:pPr>
                </w:p>
              </w:tc>
            </w:tr>
            <w:tr w:rsidR="00126779" w:rsidRPr="00351DD4" w:rsidTr="00126779">
              <w:tc>
                <w:tcPr>
                  <w:tcW w:w="9242"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rsidR="00126779" w:rsidRPr="00351DD4" w:rsidRDefault="00126779" w:rsidP="00126779">
                  <w:pPr>
                    <w:spacing w:before="40" w:after="40"/>
                    <w:rPr>
                      <w:rFonts w:eastAsia="Calibri" w:cs="Calibri"/>
                      <w:noProof/>
                      <w:color w:val="D16309"/>
                      <w:lang w:eastAsia="en-GB"/>
                    </w:rPr>
                  </w:pPr>
                  <w:r w:rsidRPr="00351DD4">
                    <w:rPr>
                      <w:rFonts w:eastAsia="Calibri" w:cs="Calibri"/>
                      <w:b/>
                      <w:noProof/>
                      <w:color w:val="D16309"/>
                      <w:lang w:eastAsia="en-GB"/>
                      <w14:textFill>
                        <w14:solidFill>
                          <w14:srgbClr w14:val="D16309">
                            <w14:lumMod w14:val="50000"/>
                          </w14:srgbClr>
                        </w14:solidFill>
                      </w14:textFill>
                    </w:rPr>
                    <w:t>Snapshot of Oxford’s Housing Needs</w:t>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Total number of households: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126779" w:rsidRPr="00351DD4" w:rsidRDefault="00126779" w:rsidP="00126779">
                  <w:pPr>
                    <w:spacing w:before="40" w:after="40"/>
                    <w:rPr>
                      <w:rFonts w:asciiTheme="minorHAnsi" w:eastAsia="Calibri" w:hAnsiTheme="minorHAnsi" w:cstheme="minorHAnsi"/>
                      <w:noProof/>
                      <w:sz w:val="20"/>
                      <w:szCs w:val="22"/>
                      <w:lang w:eastAsia="en-GB"/>
                    </w:rPr>
                  </w:pPr>
                  <w:r w:rsidRPr="00351DD4">
                    <w:rPr>
                      <w:rFonts w:asciiTheme="minorHAnsi" w:eastAsia="Calibri" w:hAnsiTheme="minorHAnsi" w:cstheme="minorHAnsi"/>
                      <w:noProof/>
                      <w:sz w:val="20"/>
                      <w:szCs w:val="22"/>
                      <w:lang w:eastAsia="en-GB"/>
                    </w:rPr>
                    <w:t>55,400 households in Oxford</w:t>
                  </w:r>
                  <w:r w:rsidRPr="00351DD4">
                    <w:rPr>
                      <w:rFonts w:asciiTheme="minorHAnsi" w:eastAsia="Calibri" w:hAnsiTheme="minorHAnsi" w:cstheme="minorHAnsi"/>
                      <w:noProof/>
                      <w:sz w:val="20"/>
                      <w:szCs w:val="22"/>
                      <w:vertAlign w:val="superscript"/>
                      <w:lang w:eastAsia="en-GB"/>
                    </w:rPr>
                    <w:footnoteReference w:id="14"/>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Total students at Oxford University:</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126779" w:rsidRPr="00351DD4" w:rsidRDefault="00126779" w:rsidP="00126779">
                  <w:pPr>
                    <w:spacing w:before="40" w:after="40"/>
                    <w:rPr>
                      <w:rFonts w:asciiTheme="minorHAnsi" w:hAnsiTheme="minorHAnsi" w:cstheme="minorHAnsi"/>
                      <w:sz w:val="20"/>
                      <w:szCs w:val="22"/>
                      <w:highlight w:val="yellow"/>
                    </w:rPr>
                  </w:pPr>
                  <w:r w:rsidRPr="00351DD4">
                    <w:rPr>
                      <w:rFonts w:asciiTheme="minorHAnsi" w:hAnsiTheme="minorHAnsi" w:cstheme="minorHAnsi"/>
                      <w:sz w:val="20"/>
                      <w:szCs w:val="22"/>
                    </w:rPr>
                    <w:t>23,</w:t>
                  </w:r>
                  <w:r>
                    <w:rPr>
                      <w:rFonts w:asciiTheme="minorHAnsi" w:hAnsiTheme="minorHAnsi" w:cstheme="minorHAnsi"/>
                      <w:sz w:val="20"/>
                      <w:szCs w:val="22"/>
                    </w:rPr>
                    <w:t>975</w:t>
                  </w:r>
                  <w:r w:rsidRPr="00351DD4">
                    <w:rPr>
                      <w:rFonts w:asciiTheme="minorHAnsi" w:hAnsiTheme="minorHAnsi" w:cstheme="minorHAnsi"/>
                      <w:sz w:val="20"/>
                      <w:szCs w:val="22"/>
                    </w:rPr>
                    <w:t xml:space="preserve"> students (December 201</w:t>
                  </w:r>
                  <w:r>
                    <w:rPr>
                      <w:rFonts w:asciiTheme="minorHAnsi" w:hAnsiTheme="minorHAnsi" w:cstheme="minorHAnsi"/>
                      <w:sz w:val="20"/>
                      <w:szCs w:val="22"/>
                    </w:rPr>
                    <w:t>7</w:t>
                  </w:r>
                  <w:r w:rsidRPr="00351DD4">
                    <w:rPr>
                      <w:rFonts w:asciiTheme="minorHAnsi" w:hAnsiTheme="minorHAnsi" w:cstheme="minorHAnsi"/>
                      <w:sz w:val="20"/>
                      <w:szCs w:val="22"/>
                    </w:rPr>
                    <w:t>)</w:t>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Total students at Oxford Brookes: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126779" w:rsidRPr="00351DD4" w:rsidRDefault="00126779" w:rsidP="00126779">
                  <w:pPr>
                    <w:spacing w:before="40" w:after="40"/>
                    <w:rPr>
                      <w:rFonts w:asciiTheme="minorHAnsi" w:hAnsiTheme="minorHAnsi" w:cstheme="minorHAnsi"/>
                      <w:sz w:val="20"/>
                      <w:szCs w:val="22"/>
                      <w:highlight w:val="yellow"/>
                    </w:rPr>
                  </w:pPr>
                  <w:r>
                    <w:rPr>
                      <w:rFonts w:asciiTheme="minorHAnsi" w:hAnsiTheme="minorHAnsi" w:cstheme="minorHAnsi"/>
                      <w:sz w:val="20"/>
                      <w:szCs w:val="22"/>
                    </w:rPr>
                    <w:t>16,988</w:t>
                  </w:r>
                  <w:r w:rsidRPr="00351DD4">
                    <w:rPr>
                      <w:rFonts w:asciiTheme="minorHAnsi" w:hAnsiTheme="minorHAnsi" w:cstheme="minorHAnsi"/>
                      <w:sz w:val="20"/>
                      <w:szCs w:val="22"/>
                    </w:rPr>
                    <w:t xml:space="preserve"> students (December 201</w:t>
                  </w:r>
                  <w:r>
                    <w:rPr>
                      <w:rFonts w:asciiTheme="minorHAnsi" w:hAnsiTheme="minorHAnsi" w:cstheme="minorHAnsi"/>
                      <w:sz w:val="20"/>
                      <w:szCs w:val="22"/>
                    </w:rPr>
                    <w:t>7</w:t>
                  </w:r>
                  <w:r w:rsidRPr="00351DD4">
                    <w:rPr>
                      <w:rFonts w:asciiTheme="minorHAnsi" w:hAnsiTheme="minorHAnsi" w:cstheme="minorHAnsi"/>
                      <w:sz w:val="20"/>
                      <w:szCs w:val="22"/>
                    </w:rPr>
                    <w:t>)</w:t>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Housing Register:</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vAlign w:val="center"/>
                </w:tcPr>
                <w:p w:rsidR="00126779" w:rsidRPr="00351DD4" w:rsidRDefault="00126779" w:rsidP="00126779">
                  <w:pPr>
                    <w:spacing w:before="40" w:after="40"/>
                    <w:rPr>
                      <w:rFonts w:asciiTheme="minorHAnsi" w:hAnsiTheme="minorHAnsi" w:cstheme="minorHAnsi"/>
                      <w:sz w:val="20"/>
                      <w:szCs w:val="22"/>
                    </w:rPr>
                  </w:pPr>
                  <w:r>
                    <w:rPr>
                      <w:rFonts w:asciiTheme="minorHAnsi" w:hAnsiTheme="minorHAnsi" w:cstheme="minorHAnsi"/>
                      <w:sz w:val="20"/>
                      <w:szCs w:val="22"/>
                    </w:rPr>
                    <w:t>2,509</w:t>
                  </w:r>
                  <w:r w:rsidRPr="00351DD4">
                    <w:rPr>
                      <w:rFonts w:asciiTheme="minorHAnsi" w:hAnsiTheme="minorHAnsi" w:cstheme="minorHAnsi"/>
                      <w:sz w:val="20"/>
                      <w:szCs w:val="22"/>
                    </w:rPr>
                    <w:t xml:space="preserve"> households</w:t>
                  </w:r>
                  <w:r w:rsidRPr="00351DD4">
                    <w:rPr>
                      <w:rFonts w:asciiTheme="minorHAnsi" w:hAnsiTheme="minorHAnsi" w:cstheme="minorHAnsi"/>
                      <w:sz w:val="20"/>
                      <w:szCs w:val="22"/>
                      <w:vertAlign w:val="superscript"/>
                    </w:rPr>
                    <w:footnoteReference w:id="15"/>
                  </w:r>
                  <w:r>
                    <w:rPr>
                      <w:rFonts w:asciiTheme="minorHAnsi" w:hAnsiTheme="minorHAnsi" w:cstheme="minorHAnsi"/>
                      <w:sz w:val="20"/>
                      <w:szCs w:val="22"/>
                    </w:rPr>
                    <w:t xml:space="preserve"> (March 2018</w:t>
                  </w:r>
                  <w:r w:rsidRPr="00351DD4">
                    <w:rPr>
                      <w:rFonts w:asciiTheme="minorHAnsi" w:hAnsiTheme="minorHAnsi" w:cstheme="minorHAnsi"/>
                      <w:sz w:val="20"/>
                      <w:szCs w:val="22"/>
                    </w:rPr>
                    <w:t>)</w:t>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Households in temporary accomodation:</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126779" w:rsidRPr="00351DD4" w:rsidRDefault="006A7C31" w:rsidP="006A7C31">
                  <w:pPr>
                    <w:spacing w:before="40" w:after="40"/>
                    <w:ind w:right="-45"/>
                    <w:rPr>
                      <w:rFonts w:asciiTheme="minorHAnsi" w:hAnsiTheme="minorHAnsi" w:cstheme="minorHAnsi"/>
                      <w:sz w:val="20"/>
                      <w:szCs w:val="22"/>
                      <w:highlight w:val="yellow"/>
                    </w:rPr>
                  </w:pPr>
                  <w:r>
                    <w:rPr>
                      <w:rFonts w:asciiTheme="minorHAnsi" w:hAnsiTheme="minorHAnsi" w:cstheme="minorHAnsi"/>
                      <w:sz w:val="20"/>
                      <w:szCs w:val="22"/>
                    </w:rPr>
                    <w:t>107</w:t>
                  </w:r>
                  <w:r w:rsidR="00126779" w:rsidRPr="00351DD4">
                    <w:rPr>
                      <w:rFonts w:asciiTheme="minorHAnsi" w:hAnsiTheme="minorHAnsi" w:cstheme="minorHAnsi"/>
                      <w:sz w:val="20"/>
                      <w:szCs w:val="22"/>
                    </w:rPr>
                    <w:t xml:space="preserve"> households in temporary accommodation (March 201</w:t>
                  </w:r>
                  <w:r>
                    <w:rPr>
                      <w:rFonts w:asciiTheme="minorHAnsi" w:hAnsiTheme="minorHAnsi" w:cstheme="minorHAnsi"/>
                      <w:sz w:val="20"/>
                      <w:szCs w:val="22"/>
                    </w:rPr>
                    <w:t>8). This is an 11% increase from March 2017</w:t>
                  </w:r>
                  <w:r w:rsidR="00126779" w:rsidRPr="00351DD4">
                    <w:rPr>
                      <w:rFonts w:asciiTheme="minorHAnsi" w:hAnsiTheme="minorHAnsi" w:cstheme="minorHAnsi"/>
                      <w:sz w:val="20"/>
                      <w:szCs w:val="22"/>
                    </w:rPr>
                    <w:t>.</w:t>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Homeless households: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126779" w:rsidRPr="00351DD4" w:rsidRDefault="00126779" w:rsidP="00126779">
                  <w:pPr>
                    <w:spacing w:before="40" w:after="40"/>
                    <w:rPr>
                      <w:rFonts w:asciiTheme="minorHAnsi" w:hAnsiTheme="minorHAnsi" w:cstheme="minorHAnsi"/>
                      <w:sz w:val="20"/>
                      <w:szCs w:val="22"/>
                    </w:rPr>
                  </w:pPr>
                  <w:r>
                    <w:rPr>
                      <w:rFonts w:asciiTheme="minorHAnsi" w:hAnsiTheme="minorHAnsi" w:cstheme="minorHAnsi"/>
                      <w:sz w:val="20"/>
                      <w:szCs w:val="22"/>
                    </w:rPr>
                    <w:t>99</w:t>
                  </w:r>
                  <w:r w:rsidRPr="00351DD4">
                    <w:rPr>
                      <w:rFonts w:asciiTheme="minorHAnsi" w:hAnsiTheme="minorHAnsi" w:cstheme="minorHAnsi"/>
                      <w:sz w:val="20"/>
                      <w:szCs w:val="22"/>
                    </w:rPr>
                    <w:t xml:space="preserve"> households were accept</w:t>
                  </w:r>
                  <w:r>
                    <w:rPr>
                      <w:rFonts w:asciiTheme="minorHAnsi" w:hAnsiTheme="minorHAnsi" w:cstheme="minorHAnsi"/>
                      <w:sz w:val="20"/>
                      <w:szCs w:val="22"/>
                    </w:rPr>
                    <w:t xml:space="preserve">ed as statutory homeless in 2017/18. This is </w:t>
                  </w:r>
                  <w:proofErr w:type="gramStart"/>
                  <w:r>
                    <w:rPr>
                      <w:rFonts w:asciiTheme="minorHAnsi" w:hAnsiTheme="minorHAnsi" w:cstheme="minorHAnsi"/>
                      <w:sz w:val="20"/>
                      <w:szCs w:val="22"/>
                    </w:rPr>
                    <w:t>an</w:t>
                  </w:r>
                  <w:proofErr w:type="gramEnd"/>
                  <w:r>
                    <w:rPr>
                      <w:rFonts w:asciiTheme="minorHAnsi" w:hAnsiTheme="minorHAnsi" w:cstheme="minorHAnsi"/>
                      <w:sz w:val="20"/>
                      <w:szCs w:val="22"/>
                    </w:rPr>
                    <w:t xml:space="preserve"> 21% decrease from 2016/17</w:t>
                  </w:r>
                  <w:r w:rsidRPr="00351DD4">
                    <w:rPr>
                      <w:rFonts w:asciiTheme="minorHAnsi" w:hAnsiTheme="minorHAnsi" w:cstheme="minorHAnsi"/>
                      <w:sz w:val="20"/>
                      <w:szCs w:val="22"/>
                    </w:rPr>
                    <w:t>.</w:t>
                  </w:r>
                  <w:r w:rsidRPr="00351DD4">
                    <w:rPr>
                      <w:rFonts w:asciiTheme="minorHAnsi" w:hAnsiTheme="minorHAnsi" w:cstheme="minorHAnsi"/>
                      <w:sz w:val="20"/>
                      <w:szCs w:val="22"/>
                      <w:vertAlign w:val="superscript"/>
                    </w:rPr>
                    <w:footnoteReference w:id="16"/>
                  </w:r>
                </w:p>
              </w:tc>
            </w:tr>
            <w:tr w:rsidR="00126779" w:rsidRPr="00351DD4" w:rsidTr="00126779">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126779" w:rsidRPr="00351DD4" w:rsidRDefault="00126779" w:rsidP="00126779">
                  <w:pPr>
                    <w:rPr>
                      <w:rFonts w:eastAsia="Calibri" w:cs="Calibri"/>
                      <w:b/>
                      <w:noProof/>
                      <w:sz w:val="20"/>
                      <w:szCs w:val="22"/>
                      <w:lang w:eastAsia="en-GB"/>
                    </w:rPr>
                  </w:pPr>
                  <w:r w:rsidRPr="00351DD4">
                    <w:rPr>
                      <w:rFonts w:eastAsia="Calibri" w:cs="Calibri"/>
                      <w:b/>
                      <w:noProof/>
                      <w:sz w:val="20"/>
                      <w:szCs w:val="22"/>
                      <w:lang w:eastAsia="en-GB"/>
                    </w:rPr>
                    <w:t>Housing tenure changes over time:</w:t>
                  </w:r>
                </w:p>
              </w:tc>
              <w:tc>
                <w:tcPr>
                  <w:tcW w:w="5732" w:type="dxa"/>
                  <w:tcBorders>
                    <w:top w:val="single" w:sz="4" w:space="0" w:color="D9D9D9" w:themeColor="background1" w:themeShade="D9"/>
                    <w:left w:val="single" w:sz="4" w:space="0" w:color="D9D9D9" w:themeColor="background1" w:themeShade="D9"/>
                    <w:bottom w:val="nil"/>
                    <w:right w:val="nil"/>
                  </w:tcBorders>
                  <w:shd w:val="clear" w:color="auto" w:fill="FDE9D9" w:themeFill="accent6" w:themeFillTint="33"/>
                </w:tcPr>
                <w:p w:rsidR="00126779" w:rsidRPr="00351DD4" w:rsidRDefault="00126779" w:rsidP="00126779">
                  <w:pPr>
                    <w:rPr>
                      <w:rFonts w:eastAsia="Calibri" w:cs="Calibri"/>
                      <w:noProof/>
                      <w:sz w:val="20"/>
                      <w:szCs w:val="22"/>
                      <w:highlight w:val="yellow"/>
                      <w:lang w:eastAsia="en-GB"/>
                    </w:rPr>
                  </w:pPr>
                </w:p>
              </w:tc>
            </w:tr>
            <w:tr w:rsidR="00126779" w:rsidRPr="00351DD4" w:rsidTr="00126779">
              <w:tc>
                <w:tcPr>
                  <w:tcW w:w="9242" w:type="dxa"/>
                  <w:gridSpan w:val="2"/>
                  <w:tcBorders>
                    <w:top w:val="nil"/>
                    <w:left w:val="nil"/>
                    <w:bottom w:val="nil"/>
                    <w:right w:val="nil"/>
                  </w:tcBorders>
                  <w:shd w:val="clear" w:color="auto" w:fill="FDE9D9" w:themeFill="accent6" w:themeFillTint="33"/>
                </w:tcPr>
                <w:p w:rsidR="00126779" w:rsidRPr="00351DD4" w:rsidRDefault="00126779" w:rsidP="00126779">
                  <w:pPr>
                    <w:spacing w:before="40" w:after="40"/>
                    <w:ind w:right="238"/>
                    <w:jc w:val="both"/>
                    <w:rPr>
                      <w:rFonts w:eastAsia="Calibri" w:cs="Calibri"/>
                      <w:noProof/>
                      <w:szCs w:val="22"/>
                      <w:lang w:eastAsia="en-GB"/>
                    </w:rPr>
                  </w:pPr>
                  <w:r w:rsidRPr="00351DD4">
                    <w:rPr>
                      <w:rFonts w:eastAsia="Calibri" w:cs="Calibri"/>
                      <w:noProof/>
                      <w:sz w:val="20"/>
                      <w:szCs w:val="22"/>
                      <w:lang w:eastAsia="en-GB"/>
                    </w:rPr>
                    <w:t xml:space="preserve">Whilst the proportion of households who live in social rented property (rented from the City Council or a housing association) has declined since 1981, the proportion of households living in private rented homes has almost doubled from 16% to 28%, meaning that as of 2011 more households now rent than own their home in Oxford. Over the last 20 years the proportion of Oxford households who own their home has declined from 55% in 1991 to 47% in 2011. This is well below the national average of 63% homeownership. </w:t>
                  </w:r>
                </w:p>
              </w:tc>
            </w:tr>
            <w:tr w:rsidR="00126779" w:rsidRPr="00351DD4" w:rsidTr="00126779">
              <w:tc>
                <w:tcPr>
                  <w:tcW w:w="9242"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rsidR="00126779" w:rsidRPr="00351DD4" w:rsidRDefault="00126779" w:rsidP="00126779">
                  <w:pPr>
                    <w:rPr>
                      <w:rFonts w:eastAsia="Calibri" w:cs="Calibri"/>
                      <w:b/>
                      <w:noProof/>
                      <w:lang w:eastAsia="en-GB"/>
                    </w:rPr>
                  </w:pPr>
                  <w:r w:rsidRPr="00351DD4">
                    <w:rPr>
                      <w:rFonts w:eastAsia="Calibri" w:cs="Calibri"/>
                      <w:b/>
                      <w:noProof/>
                      <w:color w:val="984806" w:themeColor="accent6" w:themeShade="80"/>
                      <w:lang w:eastAsia="en-GB"/>
                    </w:rPr>
                    <w:t xml:space="preserve">Housing affordability </w:t>
                  </w:r>
                  <w:r w:rsidRPr="00351DD4">
                    <w:rPr>
                      <w:rFonts w:eastAsia="Calibri" w:cs="Calibri"/>
                      <w:noProof/>
                      <w:color w:val="984806" w:themeColor="accent6" w:themeShade="80"/>
                      <w:lang w:eastAsia="en-GB"/>
                    </w:rPr>
                    <w:t>(Ratio of average income to average house price)</w:t>
                  </w:r>
                  <w:r w:rsidRPr="00351DD4">
                    <w:rPr>
                      <w:rFonts w:eastAsia="Calibri" w:cs="Calibri"/>
                      <w:b/>
                      <w:noProof/>
                      <w:color w:val="984806" w:themeColor="accent6" w:themeShade="80"/>
                      <w:lang w:eastAsia="en-GB"/>
                    </w:rPr>
                    <w:t>:</w:t>
                  </w:r>
                </w:p>
              </w:tc>
            </w:tr>
            <w:tr w:rsidR="00126779" w:rsidRPr="00351DD4" w:rsidTr="00126779">
              <w:tc>
                <w:tcPr>
                  <w:tcW w:w="9242" w:type="dxa"/>
                  <w:gridSpan w:val="2"/>
                  <w:tcBorders>
                    <w:top w:val="nil"/>
                    <w:left w:val="nil"/>
                    <w:bottom w:val="nil"/>
                    <w:right w:val="nil"/>
                  </w:tcBorders>
                  <w:shd w:val="clear" w:color="auto" w:fill="FDE9D9" w:themeFill="accent6" w:themeFillTint="33"/>
                </w:tcPr>
                <w:p w:rsidR="00126779" w:rsidRPr="00351DD4" w:rsidRDefault="00126779" w:rsidP="00126779">
                  <w:pPr>
                    <w:rPr>
                      <w:rFonts w:eastAsia="Calibri" w:cs="Calibri"/>
                      <w:noProof/>
                      <w:sz w:val="2"/>
                      <w:szCs w:val="2"/>
                      <w:highlight w:val="yellow"/>
                      <w:lang w:eastAsia="en-GB"/>
                    </w:rPr>
                  </w:pPr>
                </w:p>
                <w:p w:rsidR="00126779" w:rsidRPr="00351DD4" w:rsidRDefault="00126779" w:rsidP="00126779">
                  <w:pPr>
                    <w:jc w:val="center"/>
                    <w:rPr>
                      <w:rFonts w:eastAsia="Calibri" w:cs="Calibri"/>
                      <w:noProof/>
                      <w:sz w:val="6"/>
                      <w:szCs w:val="10"/>
                      <w:highlight w:val="yellow"/>
                      <w:lang w:eastAsia="en-GB"/>
                    </w:rPr>
                  </w:pPr>
                </w:p>
                <w:p w:rsidR="00126779" w:rsidRPr="00351DD4" w:rsidRDefault="00126779" w:rsidP="00126779">
                  <w:pPr>
                    <w:jc w:val="center"/>
                    <w:rPr>
                      <w:rFonts w:eastAsia="Calibri" w:cs="Calibri"/>
                      <w:noProof/>
                      <w:highlight w:val="yellow"/>
                      <w:lang w:eastAsia="en-GB"/>
                    </w:rPr>
                  </w:pPr>
                  <w:r w:rsidRPr="00351DD4">
                    <w:rPr>
                      <w:rFonts w:eastAsia="Calibri" w:cs="Calibri"/>
                      <w:noProof/>
                      <w:lang w:eastAsia="en-GB"/>
                    </w:rPr>
                    <w:drawing>
                      <wp:inline distT="0" distB="0" distL="0" distR="0" wp14:anchorId="5B8B80D4" wp14:editId="11DA1F3C">
                        <wp:extent cx="5587579"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602" r="2564"/>
                                <a:stretch/>
                              </pic:blipFill>
                              <pic:spPr bwMode="auto">
                                <a:xfrm>
                                  <a:off x="0" y="0"/>
                                  <a:ext cx="5586622" cy="2904627"/>
                                </a:xfrm>
                                <a:prstGeom prst="rect">
                                  <a:avLst/>
                                </a:prstGeom>
                                <a:noFill/>
                                <a:ln>
                                  <a:noFill/>
                                </a:ln>
                                <a:extLst>
                                  <a:ext uri="{53640926-AAD7-44D8-BBD7-CCE9431645EC}">
                                    <a14:shadowObscured xmlns:a14="http://schemas.microsoft.com/office/drawing/2010/main"/>
                                  </a:ext>
                                </a:extLst>
                              </pic:spPr>
                            </pic:pic>
                          </a:graphicData>
                        </a:graphic>
                      </wp:inline>
                    </w:drawing>
                  </w:r>
                </w:p>
                <w:p w:rsidR="00126779" w:rsidRPr="00351DD4" w:rsidRDefault="00126779" w:rsidP="00126779">
                  <w:pPr>
                    <w:ind w:right="-45"/>
                    <w:jc w:val="both"/>
                    <w:rPr>
                      <w:rFonts w:eastAsia="Calibri" w:cs="Calibri"/>
                      <w:sz w:val="4"/>
                      <w:highlight w:val="yellow"/>
                    </w:rPr>
                  </w:pPr>
                </w:p>
                <w:p w:rsidR="00126779" w:rsidRPr="00351DD4" w:rsidRDefault="00126779" w:rsidP="00126779">
                  <w:pPr>
                    <w:ind w:right="-45"/>
                    <w:jc w:val="both"/>
                    <w:rPr>
                      <w:rFonts w:eastAsia="Calibri" w:cs="Calibri"/>
                      <w:sz w:val="20"/>
                    </w:rPr>
                  </w:pPr>
                  <w:r w:rsidRPr="00351DD4">
                    <w:rPr>
                      <w:rFonts w:eastAsia="Calibri" w:cs="Calibri"/>
                      <w:sz w:val="20"/>
                    </w:rPr>
                    <w:t>Average house prices in Oxford are 16 times the average wage, making it the least affordable place to live in England</w:t>
                  </w:r>
                  <w:r w:rsidRPr="00351DD4">
                    <w:rPr>
                      <w:rFonts w:eastAsia="Calibri" w:cs="Calibri"/>
                      <w:sz w:val="20"/>
                      <w:vertAlign w:val="superscript"/>
                    </w:rPr>
                    <w:footnoteReference w:id="17"/>
                  </w:r>
                  <w:r w:rsidRPr="00351DD4">
                    <w:rPr>
                      <w:rFonts w:eastAsia="Calibri" w:cs="Calibri"/>
                      <w:sz w:val="20"/>
                    </w:rPr>
                    <w:t>. This has many impacts on families and communities, as well as employers and services that struggle to attract and retain staff.</w:t>
                  </w:r>
                </w:p>
                <w:p w:rsidR="00126779" w:rsidRPr="00351DD4" w:rsidRDefault="00126779" w:rsidP="00126779">
                  <w:pPr>
                    <w:ind w:right="-45"/>
                    <w:jc w:val="both"/>
                    <w:rPr>
                      <w:rFonts w:eastAsia="Calibri" w:cs="Calibri"/>
                      <w:sz w:val="10"/>
                      <w:szCs w:val="10"/>
                      <w:highlight w:val="yellow"/>
                    </w:rPr>
                  </w:pPr>
                </w:p>
              </w:tc>
            </w:tr>
          </w:tbl>
          <w:p w:rsidR="00126779" w:rsidRPr="00351DD4" w:rsidRDefault="00126779" w:rsidP="00126779">
            <w:pPr>
              <w:rPr>
                <w:noProof/>
                <w:sz w:val="8"/>
                <w:szCs w:val="8"/>
                <w:lang w:eastAsia="en-GB"/>
              </w:rPr>
            </w:pPr>
          </w:p>
        </w:tc>
      </w:tr>
    </w:tbl>
    <w:p w:rsidR="00126779" w:rsidRDefault="00126779" w:rsidP="00126779">
      <w:pPr>
        <w:outlineLvl w:val="1"/>
        <w:rPr>
          <w:rFonts w:asciiTheme="minorHAnsi" w:hAnsiTheme="minorHAnsi"/>
          <w:b/>
          <w:lang w:eastAsia="en-GB"/>
        </w:rPr>
      </w:pPr>
    </w:p>
    <w:p w:rsidR="0070297F" w:rsidRPr="00351DD4" w:rsidRDefault="0070297F" w:rsidP="00126779">
      <w:pPr>
        <w:outlineLvl w:val="1"/>
        <w:rPr>
          <w:rFonts w:asciiTheme="minorHAnsi" w:hAnsiTheme="minorHAnsi"/>
          <w:b/>
          <w:lang w:eastAsia="en-GB"/>
        </w:rPr>
      </w:pPr>
    </w:p>
    <w:p w:rsidR="00126779" w:rsidRPr="00351DD4" w:rsidRDefault="00126779" w:rsidP="00126779">
      <w:pPr>
        <w:outlineLvl w:val="1"/>
        <w:rPr>
          <w:rFonts w:asciiTheme="minorHAnsi" w:hAnsiTheme="minorHAnsi"/>
          <w:b/>
          <w:lang w:eastAsia="en-GB"/>
        </w:rPr>
      </w:pPr>
    </w:p>
    <w:bookmarkStart w:id="13" w:name="_Toc529178343"/>
    <w:p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666432" behindDoc="1" locked="0" layoutInCell="1" allowOverlap="1" wp14:anchorId="77ECE895" wp14:editId="56A38746">
                <wp:simplePos x="0" y="0"/>
                <wp:positionH relativeFrom="column">
                  <wp:posOffset>-66675</wp:posOffset>
                </wp:positionH>
                <wp:positionV relativeFrom="paragraph">
                  <wp:posOffset>0</wp:posOffset>
                </wp:positionV>
                <wp:extent cx="5875655" cy="1600200"/>
                <wp:effectExtent l="0" t="0" r="0" b="0"/>
                <wp:wrapNone/>
                <wp:docPr id="66" name="Rectangle 66"/>
                <wp:cNvGraphicFramePr/>
                <a:graphic xmlns:a="http://schemas.openxmlformats.org/drawingml/2006/main">
                  <a:graphicData uri="http://schemas.microsoft.com/office/word/2010/wordprocessingShape">
                    <wps:wsp>
                      <wps:cNvSpPr/>
                      <wps:spPr>
                        <a:xfrm>
                          <a:off x="0" y="0"/>
                          <a:ext cx="5875655" cy="16002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200F38" id="Rectangle 66" o:spid="_x0000_s1026" style="position:absolute;margin-left:-5.25pt;margin-top:0;width:462.65pt;height:1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" fillcolor="#fcd5b5" stroked="f" strokeweight="2pt"/>
            </w:pict>
          </mc:Fallback>
        </mc:AlternateContent>
      </w:r>
      <w:r w:rsidRPr="00351DD4">
        <w:rPr>
          <w:rFonts w:asciiTheme="minorHAnsi" w:hAnsiTheme="minorHAnsi"/>
          <w:b/>
          <w:lang w:eastAsia="en-GB"/>
        </w:rPr>
        <w:t>Indicator 7: HOUSING TRAJECTORY</w:t>
      </w:r>
      <w:bookmarkEnd w:id="13"/>
    </w:p>
    <w:p w:rsidR="00126779" w:rsidRPr="00351DD4" w:rsidRDefault="00126779" w:rsidP="00126779">
      <w:pPr>
        <w:autoSpaceDE w:val="0"/>
        <w:autoSpaceDN w:val="0"/>
        <w:adjustRightInd w:val="0"/>
        <w:jc w:val="both"/>
        <w:rPr>
          <w:rFonts w:eastAsia="Calibri" w:cs="Calibri"/>
          <w:sz w:val="20"/>
        </w:rPr>
      </w:pPr>
      <w:r w:rsidRPr="00351DD4">
        <w:rPr>
          <w:rFonts w:eastAsia="Calibri" w:cs="Calibri"/>
          <w:sz w:val="20"/>
        </w:rPr>
        <w:t>(Planned housing and provision, net additional dwellings in previous years, the reporting year and in future years plus the managed delivery target)</w:t>
      </w:r>
    </w:p>
    <w:p w:rsidR="00126779" w:rsidRPr="00351DD4" w:rsidRDefault="00126779" w:rsidP="00126779">
      <w:pPr>
        <w:autoSpaceDE w:val="0"/>
        <w:autoSpaceDN w:val="0"/>
        <w:adjustRightInd w:val="0"/>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8,000 dwellings between 2006 and 2026 </w:t>
      </w:r>
      <w:r w:rsidRPr="00351DD4">
        <w:rPr>
          <w:rFonts w:eastAsia="Calibri" w:cs="Calibri"/>
          <w:color w:val="984806" w:themeColor="accent6" w:themeShade="80"/>
          <w:sz w:val="20"/>
          <w:szCs w:val="22"/>
        </w:rPr>
        <w:t>(Oxford Core Strategy Policy CS22)</w:t>
      </w:r>
    </w:p>
    <w:p w:rsidR="00126779" w:rsidRPr="00351DD4"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rsidTr="00126779">
        <w:trPr>
          <w:trHeight w:val="218"/>
        </w:trPr>
        <w:tc>
          <w:tcPr>
            <w:tcW w:w="5420" w:type="dxa"/>
          </w:tcPr>
          <w:p w:rsidR="00126779" w:rsidRPr="00351DD4" w:rsidRDefault="00881331" w:rsidP="00126779">
            <w:pPr>
              <w:autoSpaceDE w:val="0"/>
              <w:autoSpaceDN w:val="0"/>
              <w:adjustRightInd w:val="0"/>
              <w:ind w:left="-108"/>
              <w:rPr>
                <w:rFonts w:eastAsia="Calibri" w:cs="Calibri"/>
                <w:b/>
                <w:color w:val="984806" w:themeColor="accent6" w:themeShade="80"/>
              </w:rPr>
            </w:pPr>
            <w:r>
              <w:rPr>
                <w:rFonts w:eastAsia="Calibri" w:cs="Calibri"/>
                <w:b/>
                <w:color w:val="984806" w:themeColor="accent6" w:themeShade="80"/>
              </w:rPr>
              <w:t>Performance against target 2017/18</w:t>
            </w:r>
            <w:r w:rsidR="00126779" w:rsidRPr="00351DD4">
              <w:rPr>
                <w:rFonts w:eastAsia="Calibri" w:cs="Calibri"/>
                <w:b/>
                <w:color w:val="984806" w:themeColor="accent6" w:themeShade="80"/>
              </w:rPr>
              <w:t>:</w:t>
            </w:r>
          </w:p>
          <w:p w:rsidR="00126779" w:rsidRPr="00351DD4" w:rsidRDefault="00126779" w:rsidP="00126779">
            <w:pPr>
              <w:autoSpaceDE w:val="0"/>
              <w:autoSpaceDN w:val="0"/>
              <w:adjustRightInd w:val="0"/>
              <w:rPr>
                <w:b/>
                <w:noProof/>
                <w:color w:val="984806" w:themeColor="accent6" w:themeShade="80"/>
                <w:sz w:val="2"/>
                <w:szCs w:val="16"/>
                <w:lang w:eastAsia="en-GB"/>
              </w:rPr>
            </w:pPr>
          </w:p>
        </w:tc>
        <w:tc>
          <w:tcPr>
            <w:tcW w:w="3714"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c>
          <w:tcPr>
            <w:tcW w:w="5420" w:type="dxa"/>
            <w:vMerge w:val="restart"/>
          </w:tcPr>
          <w:p w:rsidR="00126779" w:rsidRPr="00351DD4" w:rsidRDefault="00126779" w:rsidP="00126779">
            <w:pPr>
              <w:autoSpaceDE w:val="0"/>
              <w:autoSpaceDN w:val="0"/>
              <w:adjustRightInd w:val="0"/>
              <w:jc w:val="center"/>
              <w:rPr>
                <w:b/>
                <w:noProof/>
                <w:color w:val="3F4F21"/>
                <w:sz w:val="6"/>
                <w:szCs w:val="32"/>
                <w:lang w:eastAsia="en-GB"/>
              </w:rPr>
            </w:pPr>
          </w:p>
          <w:p w:rsidR="00126779" w:rsidRPr="00351DD4" w:rsidRDefault="00126779" w:rsidP="00126779">
            <w:pPr>
              <w:autoSpaceDE w:val="0"/>
              <w:autoSpaceDN w:val="0"/>
              <w:adjustRightInd w:val="0"/>
              <w:jc w:val="center"/>
              <w:rPr>
                <w:rFonts w:eastAsia="Calibri" w:cs="Calibri"/>
                <w:color w:val="984806" w:themeColor="accent6" w:themeShade="80"/>
                <w:szCs w:val="12"/>
              </w:rPr>
            </w:pPr>
            <w:r w:rsidRPr="00351DD4">
              <w:rPr>
                <w:b/>
                <w:noProof/>
                <w:color w:val="3F4F21"/>
                <w:sz w:val="32"/>
                <w:szCs w:val="32"/>
                <w:lang w:eastAsia="en-GB"/>
              </w:rPr>
              <w:drawing>
                <wp:inline distT="0" distB="0" distL="0" distR="0" wp14:anchorId="5A897EE4" wp14:editId="67D5D155">
                  <wp:extent cx="1388853" cy="418201"/>
                  <wp:effectExtent l="0" t="0" r="1905" b="1270"/>
                  <wp:docPr id="17" name="Picture 1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126779" w:rsidRPr="00351DD4" w:rsidRDefault="00881331"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r w:rsidR="00126779"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color w:val="984806" w:themeColor="accent6" w:themeShade="80"/>
              </w:rPr>
            </w:pPr>
            <w:r w:rsidRPr="00351DD4">
              <w:rPr>
                <w:b/>
                <w:noProof/>
                <w:szCs w:val="32"/>
                <w:lang w:eastAsia="en-GB"/>
              </w:rPr>
              <w:drawing>
                <wp:inline distT="0" distB="0" distL="0" distR="0" wp14:anchorId="10CCA849" wp14:editId="1660BC68">
                  <wp:extent cx="819150" cy="256182"/>
                  <wp:effectExtent l="0" t="0" r="0" b="0"/>
                  <wp:docPr id="18" name="Picture 1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rsidTr="00126779">
        <w:tc>
          <w:tcPr>
            <w:tcW w:w="5420"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rsidR="00126779" w:rsidRPr="00351DD4" w:rsidRDefault="00881331"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2015/16</w:t>
            </w:r>
            <w:r w:rsidR="00126779" w:rsidRPr="00351DD4">
              <w:rPr>
                <w:rFonts w:eastAsia="Calibri" w:cs="Calibri"/>
                <w:b/>
                <w:color w:val="984806" w:themeColor="accent6" w:themeShade="80"/>
              </w:rPr>
              <w:t>:</w:t>
            </w:r>
          </w:p>
        </w:tc>
        <w:tc>
          <w:tcPr>
            <w:tcW w:w="2613" w:type="dxa"/>
          </w:tcPr>
          <w:p w:rsidR="00126779" w:rsidRPr="00351DD4" w:rsidRDefault="00881331" w:rsidP="00126779">
            <w:pPr>
              <w:autoSpaceDE w:val="0"/>
              <w:autoSpaceDN w:val="0"/>
              <w:adjustRightInd w:val="0"/>
              <w:rPr>
                <w:rFonts w:eastAsia="Calibri" w:cs="Calibri"/>
                <w:b/>
                <w:color w:val="984806" w:themeColor="accent6" w:themeShade="80"/>
              </w:rPr>
            </w:pPr>
            <w:r w:rsidRPr="00351DD4">
              <w:rPr>
                <w:b/>
                <w:noProof/>
                <w:szCs w:val="32"/>
                <w:lang w:eastAsia="en-GB"/>
              </w:rPr>
              <w:drawing>
                <wp:inline distT="0" distB="0" distL="0" distR="0" wp14:anchorId="1828AAFD" wp14:editId="6B347124">
                  <wp:extent cx="819150" cy="256182"/>
                  <wp:effectExtent l="0" t="0" r="0" b="0"/>
                  <wp:docPr id="279" name="Picture 2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351DD4" w:rsidRDefault="00126779" w:rsidP="00126779">
      <w:pPr>
        <w:autoSpaceDE w:val="0"/>
        <w:autoSpaceDN w:val="0"/>
        <w:adjustRightInd w:val="0"/>
        <w:spacing w:line="276" w:lineRule="auto"/>
        <w:ind w:left="357" w:right="5341"/>
        <w:jc w:val="both"/>
        <w:rPr>
          <w:rFonts w:eastAsia="Calibri" w:cs="Calibri"/>
          <w:sz w:val="8"/>
          <w:szCs w:val="20"/>
        </w:rPr>
      </w:pP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Calibri"/>
          <w:noProof/>
          <w:szCs w:val="22"/>
          <w:lang w:eastAsia="en-GB"/>
        </w:rPr>
        <mc:AlternateContent>
          <mc:Choice Requires="wps">
            <w:drawing>
              <wp:anchor distT="0" distB="0" distL="114300" distR="114300" simplePos="0" relativeHeight="251674624" behindDoc="1" locked="0" layoutInCell="1" allowOverlap="1" wp14:anchorId="55E56BFC" wp14:editId="5D6C90C4">
                <wp:simplePos x="0" y="0"/>
                <wp:positionH relativeFrom="column">
                  <wp:posOffset>2733675</wp:posOffset>
                </wp:positionH>
                <wp:positionV relativeFrom="paragraph">
                  <wp:posOffset>115570</wp:posOffset>
                </wp:positionV>
                <wp:extent cx="3152775" cy="3695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152775" cy="3695700"/>
                        </a:xfrm>
                        <a:prstGeom prst="rect">
                          <a:avLst/>
                        </a:prstGeom>
                        <a:noFill/>
                        <a:ln w="6350">
                          <a:noFill/>
                        </a:ln>
                        <a:effectLst/>
                      </wps:spPr>
                      <wps:txbx>
                        <w:txbxContent>
                          <w:tbl>
                            <w:tblPr>
                              <w:tblStyle w:val="TableGrid24"/>
                              <w:tblW w:w="3969" w:type="dxa"/>
                              <w:tblInd w:w="817"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86183F" w:rsidRPr="00856641"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383*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373*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9D6FB6" w:rsidRDefault="0086183F" w:rsidP="00126779">
                                  <w:pPr>
                                    <w:jc w:val="center"/>
                                    <w:rPr>
                                      <w:rFonts w:eastAsia="Calibri" w:cs="Times New Roman"/>
                                      <w:color w:val="262626" w:themeColor="text1" w:themeTint="D9"/>
                                      <w:sz w:val="20"/>
                                      <w:szCs w:val="22"/>
                                    </w:rPr>
                                  </w:pPr>
                                  <w:r w:rsidRPr="009D6FB6">
                                    <w:rPr>
                                      <w:rFonts w:eastAsia="Calibri" w:cs="Times New Roman"/>
                                      <w:color w:val="262626" w:themeColor="text1" w:themeTint="D9"/>
                                      <w:sz w:val="20"/>
                                      <w:szCs w:val="22"/>
                                    </w:rPr>
                                    <w:t>2017/18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CD232F" w:rsidRDefault="0086183F"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282*</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sidRPr="0070297F">
                                    <w:rPr>
                                      <w:rFonts w:eastAsia="Calibri" w:cs="Times New Roman"/>
                                      <w:b/>
                                      <w:color w:val="262626" w:themeColor="text1" w:themeTint="D9"/>
                                      <w:sz w:val="20"/>
                                      <w:szCs w:val="22"/>
                                    </w:rPr>
                                    <w:t>4,498 +</w:t>
                                  </w:r>
                                </w:p>
                              </w:tc>
                            </w:tr>
                          </w:tbl>
                          <w:p w:rsidR="0086183F" w:rsidRDefault="0086183F" w:rsidP="00126779">
                            <w:pPr>
                              <w:autoSpaceDE w:val="0"/>
                              <w:autoSpaceDN w:val="0"/>
                              <w:adjustRightInd w:val="0"/>
                              <w:ind w:left="709"/>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rsidR="0086183F" w:rsidRPr="003826FE" w:rsidRDefault="0086183F" w:rsidP="00126779">
                            <w:pPr>
                              <w:autoSpaceDE w:val="0"/>
                              <w:autoSpaceDN w:val="0"/>
                              <w:adjustRightInd w:val="0"/>
                              <w:ind w:right="327"/>
                              <w:rPr>
                                <w:rFonts w:eastAsia="Calibri" w:cs="Calibri"/>
                                <w:color w:val="000000"/>
                                <w:sz w:val="6"/>
                              </w:rPr>
                            </w:pPr>
                          </w:p>
                          <w:p w:rsidR="0086183F" w:rsidRPr="00FD0817" w:rsidRDefault="0086183F" w:rsidP="00126779">
                            <w:pPr>
                              <w:tabs>
                                <w:tab w:val="left" w:pos="4962"/>
                              </w:tabs>
                              <w:ind w:left="709" w:right="45"/>
                              <w:jc w:val="both"/>
                              <w:rPr>
                                <w:color w:val="404040" w:themeColor="text1" w:themeTint="BF"/>
                              </w:rPr>
                            </w:pPr>
                            <w:r w:rsidRPr="00FD0817">
                              <w:rPr>
                                <w:color w:val="984806" w:themeColor="accent6" w:themeShade="80"/>
                                <w:sz w:val="20"/>
                              </w:rPr>
                              <w:t>*</w:t>
                            </w:r>
                            <w:r w:rsidRPr="00FD0817">
                              <w:rPr>
                                <w:color w:val="404040" w:themeColor="text1" w:themeTint="BF"/>
                                <w:sz w:val="20"/>
                              </w:rPr>
                              <w:t>Note: Total completions for the year 2013/14 and later include C3 residential dwellings plus a dwelling equivalent figure for C2 student accommodation and care home rooms to reflect changes introduced in the Planning Practice Guidance in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028" type="#_x0000_t202" style="position:absolute;left:0;text-align:left;margin-left:215.25pt;margin-top:9.1pt;width:248.25pt;height:29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" filled="f" stroked="f" strokeweight=".5pt">
                <v:textbox>
                  <w:txbxContent>
                    <w:tbl>
                      <w:tblPr>
                        <w:tblStyle w:val="TableGrid24"/>
                        <w:tblW w:w="3969" w:type="dxa"/>
                        <w:tblInd w:w="817"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86183F" w:rsidRPr="00856641"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383*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373*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9D6FB6" w:rsidRDefault="0086183F" w:rsidP="00126779">
                            <w:pPr>
                              <w:jc w:val="center"/>
                              <w:rPr>
                                <w:rFonts w:eastAsia="Calibri" w:cs="Times New Roman"/>
                                <w:color w:val="262626" w:themeColor="text1" w:themeTint="D9"/>
                                <w:sz w:val="20"/>
                                <w:szCs w:val="22"/>
                              </w:rPr>
                            </w:pPr>
                            <w:r w:rsidRPr="009D6FB6">
                              <w:rPr>
                                <w:rFonts w:eastAsia="Calibri" w:cs="Times New Roman"/>
                                <w:color w:val="262626" w:themeColor="text1" w:themeTint="D9"/>
                                <w:sz w:val="20"/>
                                <w:szCs w:val="22"/>
                              </w:rPr>
                              <w:t>2017/18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CD232F" w:rsidRDefault="0086183F"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282*</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sidRPr="0070297F">
                              <w:rPr>
                                <w:rFonts w:eastAsia="Calibri" w:cs="Times New Roman"/>
                                <w:b/>
                                <w:color w:val="262626" w:themeColor="text1" w:themeTint="D9"/>
                                <w:sz w:val="20"/>
                                <w:szCs w:val="22"/>
                              </w:rPr>
                              <w:t>4,498 +</w:t>
                            </w:r>
                          </w:p>
                        </w:tc>
                      </w:tr>
                    </w:tbl>
                    <w:p w:rsidR="0086183F" w:rsidRDefault="0086183F" w:rsidP="00126779">
                      <w:pPr>
                        <w:autoSpaceDE w:val="0"/>
                        <w:autoSpaceDN w:val="0"/>
                        <w:adjustRightInd w:val="0"/>
                        <w:ind w:left="709"/>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rsidR="0086183F" w:rsidRPr="003826FE" w:rsidRDefault="0086183F" w:rsidP="00126779">
                      <w:pPr>
                        <w:autoSpaceDE w:val="0"/>
                        <w:autoSpaceDN w:val="0"/>
                        <w:adjustRightInd w:val="0"/>
                        <w:ind w:right="327"/>
                        <w:rPr>
                          <w:rFonts w:eastAsia="Calibri" w:cs="Calibri"/>
                          <w:color w:val="000000"/>
                          <w:sz w:val="6"/>
                        </w:rPr>
                      </w:pPr>
                    </w:p>
                    <w:p w:rsidR="0086183F" w:rsidRPr="00FD0817" w:rsidRDefault="0086183F" w:rsidP="00126779">
                      <w:pPr>
                        <w:tabs>
                          <w:tab w:val="left" w:pos="4962"/>
                        </w:tabs>
                        <w:ind w:left="709" w:right="45"/>
                        <w:jc w:val="both"/>
                        <w:rPr>
                          <w:color w:val="404040" w:themeColor="text1" w:themeTint="BF"/>
                        </w:rPr>
                      </w:pPr>
                      <w:r w:rsidRPr="00FD0817">
                        <w:rPr>
                          <w:color w:val="984806" w:themeColor="accent6" w:themeShade="80"/>
                          <w:sz w:val="20"/>
                        </w:rPr>
                        <w:t>*</w:t>
                      </w:r>
                      <w:r w:rsidRPr="00FD0817">
                        <w:rPr>
                          <w:color w:val="404040" w:themeColor="text1" w:themeTint="BF"/>
                          <w:sz w:val="20"/>
                        </w:rPr>
                        <w:t>Note: Total completions for the year 2013/14 and later include C3 residential dwellings plus a dwelling equivalent figure for C2 student accommodation and care home rooms to reflect changes introduced in the Planning Practice Guidance in 2014.</w:t>
                      </w:r>
                    </w:p>
                  </w:txbxContent>
                </v:textbox>
              </v:shape>
            </w:pict>
          </mc:Fallback>
        </mc:AlternateContent>
      </w:r>
      <w:r w:rsidRPr="00351DD4">
        <w:rPr>
          <w:rFonts w:eastAsia="Calibri" w:cs="Times New Roman"/>
          <w:b/>
          <w:color w:val="984806" w:themeColor="accent6" w:themeShade="80"/>
          <w:szCs w:val="22"/>
        </w:rPr>
        <w:t>Housing Completions</w:t>
      </w:r>
    </w:p>
    <w:p w:rsidR="00126779" w:rsidRPr="00351DD4" w:rsidRDefault="00126779" w:rsidP="00126779">
      <w:pPr>
        <w:numPr>
          <w:ilvl w:val="1"/>
          <w:numId w:val="8"/>
        </w:numPr>
        <w:tabs>
          <w:tab w:val="left" w:pos="4820"/>
        </w:tabs>
        <w:autoSpaceDE w:val="0"/>
        <w:autoSpaceDN w:val="0"/>
        <w:adjustRightInd w:val="0"/>
        <w:spacing w:after="200" w:line="276" w:lineRule="auto"/>
        <w:ind w:left="567" w:right="4206" w:hanging="567"/>
        <w:jc w:val="both"/>
        <w:rPr>
          <w:rFonts w:eastAsia="Calibri" w:cs="Calibri"/>
          <w:szCs w:val="22"/>
        </w:rPr>
      </w:pPr>
      <w:r w:rsidRPr="00351DD4">
        <w:rPr>
          <w:rFonts w:eastAsia="Calibri" w:cs="Calibri"/>
          <w:szCs w:val="22"/>
        </w:rPr>
        <w:t>The Core Strategy provides for a minimum of 8,000 dwellings from 2006 to 2026, with an average annual completion target of 400 dwellings per year.</w:t>
      </w:r>
    </w:p>
    <w:p w:rsidR="00126779" w:rsidRPr="00351DD4" w:rsidRDefault="00126779" w:rsidP="00126779">
      <w:pPr>
        <w:numPr>
          <w:ilvl w:val="1"/>
          <w:numId w:val="8"/>
        </w:numPr>
        <w:tabs>
          <w:tab w:val="left" w:pos="3828"/>
          <w:tab w:val="left" w:pos="4820"/>
        </w:tabs>
        <w:autoSpaceDE w:val="0"/>
        <w:autoSpaceDN w:val="0"/>
        <w:adjustRightInd w:val="0"/>
        <w:spacing w:after="120" w:line="276" w:lineRule="auto"/>
        <w:ind w:left="567" w:right="4206" w:hanging="567"/>
        <w:jc w:val="both"/>
        <w:rPr>
          <w:rFonts w:eastAsia="Calibri" w:cs="Calibri"/>
          <w:szCs w:val="22"/>
        </w:rPr>
      </w:pPr>
      <w:r w:rsidRPr="00351DD4">
        <w:rPr>
          <w:rFonts w:eastAsia="Calibri" w:cs="Calibri"/>
          <w:szCs w:val="22"/>
        </w:rPr>
        <w:t>Table 7 shows net dwellings completed since the start of the Core Strategy period. This takes into account dwellings gained and lost through new build completions, demolitions, changes of use and conversions.</w:t>
      </w:r>
    </w:p>
    <w:p w:rsidR="00126779" w:rsidRPr="00607B86" w:rsidRDefault="00126779" w:rsidP="00126779">
      <w:pPr>
        <w:numPr>
          <w:ilvl w:val="1"/>
          <w:numId w:val="8"/>
        </w:numPr>
        <w:autoSpaceDE w:val="0"/>
        <w:autoSpaceDN w:val="0"/>
        <w:adjustRightInd w:val="0"/>
        <w:spacing w:after="200" w:line="276" w:lineRule="auto"/>
        <w:ind w:left="567" w:right="4206" w:hanging="567"/>
        <w:jc w:val="both"/>
        <w:rPr>
          <w:rFonts w:eastAsia="Calibri" w:cs="Calibri"/>
          <w:szCs w:val="22"/>
        </w:rPr>
      </w:pPr>
      <w:r w:rsidRPr="00607B86">
        <w:rPr>
          <w:rFonts w:eastAsia="Calibri" w:cs="Calibri"/>
          <w:szCs w:val="22"/>
        </w:rPr>
        <w:t xml:space="preserve">In the 2017/18 monitoring year, 282 (net) dwellings were completed in Oxford. </w:t>
      </w:r>
      <w:r w:rsidRPr="00607B86">
        <w:rPr>
          <w:rFonts w:cs="Calibri"/>
        </w:rPr>
        <w:t>Whilst this is some way off the 400 dwellings per year annualised target set in the Core Strategy, the average annual housing delivery since 2006/07 remains above the 400 dwellings per year target.</w:t>
      </w:r>
    </w:p>
    <w:p w:rsidR="00126779" w:rsidRPr="00421A3D" w:rsidRDefault="00126779" w:rsidP="00126779">
      <w:pPr>
        <w:numPr>
          <w:ilvl w:val="1"/>
          <w:numId w:val="8"/>
        </w:numPr>
        <w:tabs>
          <w:tab w:val="left" w:pos="4962"/>
        </w:tabs>
        <w:autoSpaceDE w:val="0"/>
        <w:autoSpaceDN w:val="0"/>
        <w:adjustRightInd w:val="0"/>
        <w:spacing w:after="200" w:line="276" w:lineRule="auto"/>
        <w:ind w:left="567" w:right="4064" w:hanging="567"/>
        <w:jc w:val="both"/>
        <w:rPr>
          <w:rFonts w:eastAsia="Calibri" w:cs="Calibri"/>
          <w:szCs w:val="22"/>
        </w:rPr>
      </w:pPr>
      <w:r w:rsidRPr="00421A3D">
        <w:rPr>
          <w:rFonts w:eastAsia="Calibri" w:cs="Calibri"/>
          <w:noProof/>
          <w:szCs w:val="22"/>
          <w:lang w:eastAsia="en-GB"/>
        </w:rPr>
        <mc:AlternateContent>
          <mc:Choice Requires="wps">
            <w:drawing>
              <wp:anchor distT="0" distB="0" distL="114300" distR="114300" simplePos="0" relativeHeight="251673600" behindDoc="1" locked="0" layoutInCell="1" allowOverlap="1" wp14:anchorId="096F8CF6" wp14:editId="177F6A00">
                <wp:simplePos x="0" y="0"/>
                <wp:positionH relativeFrom="column">
                  <wp:posOffset>2846567</wp:posOffset>
                </wp:positionH>
                <wp:positionV relativeFrom="paragraph">
                  <wp:posOffset>743557</wp:posOffset>
                </wp:positionV>
                <wp:extent cx="3152775" cy="338725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152775" cy="3387256"/>
                        </a:xfrm>
                        <a:prstGeom prst="rect">
                          <a:avLst/>
                        </a:prstGeom>
                        <a:noFill/>
                        <a:ln w="6350">
                          <a:noFill/>
                        </a:ln>
                        <a:effectLst/>
                      </wps:spPr>
                      <wps:txb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86183F" w:rsidRPr="00856641"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CD232F" w:rsidRDefault="0086183F"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2017/18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CD232F" w:rsidRDefault="0086183F" w:rsidP="00126779">
                                  <w:pPr>
                                    <w:jc w:val="center"/>
                                    <w:rPr>
                                      <w:rFonts w:eastAsia="Calibri" w:cs="Times New Roman"/>
                                      <w:b/>
                                      <w:color w:val="262626" w:themeColor="text1" w:themeTint="D9"/>
                                      <w:sz w:val="20"/>
                                    </w:rPr>
                                  </w:pPr>
                                  <w:r>
                                    <w:rPr>
                                      <w:rFonts w:eastAsia="Calibri" w:cs="Times New Roman"/>
                                      <w:b/>
                                      <w:color w:val="262626" w:themeColor="text1" w:themeTint="D9"/>
                                      <w:sz w:val="20"/>
                                    </w:rPr>
                                    <w:t>524</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rPr>
                                    <w:t>5,250</w:t>
                                  </w:r>
                                </w:p>
                              </w:tc>
                            </w:tr>
                          </w:tbl>
                          <w:p w:rsidR="0086183F" w:rsidRDefault="0086183F" w:rsidP="00126779">
                            <w:pPr>
                              <w:autoSpaceDE w:val="0"/>
                              <w:autoSpaceDN w:val="0"/>
                              <w:adjustRightInd w:val="0"/>
                              <w:ind w:firstLine="720"/>
                              <w:jc w:val="center"/>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w:t>
                            </w:r>
                          </w:p>
                          <w:p w:rsidR="0086183F" w:rsidRDefault="0086183F" w:rsidP="00126779">
                            <w:pPr>
                              <w:autoSpaceDE w:val="0"/>
                              <w:autoSpaceDN w:val="0"/>
                              <w:adjustRightInd w:val="0"/>
                              <w:ind w:firstLine="720"/>
                              <w:rPr>
                                <w:rFonts w:eastAsia="Calibri" w:cs="Calibri"/>
                                <w:color w:val="000000"/>
                                <w:sz w:val="20"/>
                              </w:rPr>
                            </w:pPr>
                            <w:r>
                              <w:rPr>
                                <w:rFonts w:eastAsia="Calibri" w:cs="Calibri"/>
                                <w:color w:val="000000"/>
                                <w:sz w:val="20"/>
                              </w:rPr>
                              <w:t xml:space="preserve">    since the start of the Core Strategy period</w:t>
                            </w:r>
                          </w:p>
                          <w:p w:rsidR="0086183F" w:rsidRPr="002237B0" w:rsidRDefault="0086183F" w:rsidP="00126779">
                            <w:pPr>
                              <w:autoSpaceDE w:val="0"/>
                              <w:autoSpaceDN w:val="0"/>
                              <w:adjustRightInd w:val="0"/>
                              <w:ind w:firstLine="720"/>
                              <w:rPr>
                                <w:rFonts w:eastAsia="Calibri" w:cs="Calibri"/>
                                <w:color w:val="000000"/>
                                <w:sz w:val="6"/>
                              </w:rPr>
                            </w:pPr>
                          </w:p>
                          <w:p w:rsidR="0086183F" w:rsidRPr="00FD0817" w:rsidRDefault="0086183F" w:rsidP="00126779">
                            <w:pPr>
                              <w:tabs>
                                <w:tab w:val="left" w:pos="4962"/>
                              </w:tabs>
                              <w:ind w:left="709" w:right="45"/>
                              <w:jc w:val="both"/>
                              <w:rPr>
                                <w:color w:val="404040" w:themeColor="text1" w:themeTint="BF"/>
                              </w:rPr>
                            </w:pPr>
                            <w:r w:rsidRPr="00FD0817">
                              <w:rPr>
                                <w:color w:val="404040" w:themeColor="text1" w:themeTint="BF"/>
                                <w:sz w:val="20"/>
                              </w:rPr>
                              <w:t>Note: T</w:t>
                            </w:r>
                            <w:r>
                              <w:rPr>
                                <w:color w:val="404040" w:themeColor="text1" w:themeTint="BF"/>
                                <w:sz w:val="20"/>
                              </w:rPr>
                              <w:t>his does not include</w:t>
                            </w:r>
                            <w:r w:rsidRPr="00FD0817">
                              <w:rPr>
                                <w:color w:val="404040" w:themeColor="text1" w:themeTint="BF"/>
                                <w:sz w:val="20"/>
                              </w:rPr>
                              <w:t xml:space="preserve"> dwelling equivalent figure</w:t>
                            </w:r>
                            <w:r>
                              <w:rPr>
                                <w:color w:val="404040" w:themeColor="text1" w:themeTint="BF"/>
                                <w:sz w:val="20"/>
                              </w:rPr>
                              <w:t>s</w:t>
                            </w:r>
                            <w:r w:rsidRPr="00FD0817">
                              <w:rPr>
                                <w:color w:val="404040" w:themeColor="text1" w:themeTint="BF"/>
                                <w:sz w:val="20"/>
                              </w:rPr>
                              <w:t xml:space="preserve"> for C2 student accommodation and care home rooms</w:t>
                            </w:r>
                            <w:r>
                              <w:rPr>
                                <w:color w:val="404040" w:themeColor="text1" w:themeTint="BF"/>
                                <w:sz w:val="20"/>
                              </w:rPr>
                              <w:t>.</w:t>
                            </w:r>
                          </w:p>
                          <w:p w:rsidR="0086183F" w:rsidRDefault="0086183F" w:rsidP="00126779">
                            <w:pPr>
                              <w:autoSpaceDE w:val="0"/>
                              <w:autoSpaceDN w:val="0"/>
                              <w:adjustRightInd w:val="0"/>
                              <w:ind w:firstLine="720"/>
                              <w:rPr>
                                <w:rFonts w:eastAsia="Calibri" w:cs="Calibri"/>
                                <w:color w:val="000000"/>
                                <w:sz w:val="20"/>
                              </w:rPr>
                            </w:pPr>
                          </w:p>
                          <w:p w:rsidR="0086183F" w:rsidRPr="00913C04" w:rsidRDefault="0086183F" w:rsidP="00126779">
                            <w:pPr>
                              <w:autoSpaceDE w:val="0"/>
                              <w:autoSpaceDN w:val="0"/>
                              <w:adjustRightInd w:val="0"/>
                              <w:ind w:firstLine="720"/>
                              <w:rPr>
                                <w:rFonts w:eastAsia="Calibri" w:cs="Calibri"/>
                                <w:color w:val="000000"/>
                                <w:sz w:val="20"/>
                              </w:rPr>
                            </w:pPr>
                          </w:p>
                          <w:p w:rsidR="0086183F" w:rsidRDefault="0086183F" w:rsidP="00126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224.15pt;margin-top:58.55pt;width:248.25pt;height:26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" filled="f" stroked="f" strokeweight=".5pt">
                <v:textbo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86183F" w:rsidRPr="00856641"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rsidR="0086183F" w:rsidRPr="00CD232F" w:rsidRDefault="0086183F"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CD232F" w:rsidRDefault="0086183F"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2017/18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86183F" w:rsidRPr="00CD232F" w:rsidRDefault="0086183F" w:rsidP="00126779">
                            <w:pPr>
                              <w:jc w:val="center"/>
                              <w:rPr>
                                <w:rFonts w:eastAsia="Calibri" w:cs="Times New Roman"/>
                                <w:b/>
                                <w:color w:val="262626" w:themeColor="text1" w:themeTint="D9"/>
                                <w:sz w:val="20"/>
                              </w:rPr>
                            </w:pPr>
                            <w:r>
                              <w:rPr>
                                <w:rFonts w:eastAsia="Calibri" w:cs="Times New Roman"/>
                                <w:b/>
                                <w:color w:val="262626" w:themeColor="text1" w:themeTint="D9"/>
                                <w:sz w:val="20"/>
                              </w:rPr>
                              <w:t>524</w:t>
                            </w:r>
                          </w:p>
                        </w:tc>
                      </w:tr>
                      <w:tr w:rsidR="0086183F" w:rsidRPr="00AB5140"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86183F" w:rsidRPr="00CD232F" w:rsidRDefault="0086183F"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rPr>
                              <w:t>5,250</w:t>
                            </w:r>
                          </w:p>
                        </w:tc>
                      </w:tr>
                    </w:tbl>
                    <w:p w:rsidR="0086183F" w:rsidRDefault="0086183F" w:rsidP="00126779">
                      <w:pPr>
                        <w:autoSpaceDE w:val="0"/>
                        <w:autoSpaceDN w:val="0"/>
                        <w:adjustRightInd w:val="0"/>
                        <w:ind w:firstLine="720"/>
                        <w:jc w:val="center"/>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w:t>
                      </w:r>
                    </w:p>
                    <w:p w:rsidR="0086183F" w:rsidRDefault="0086183F" w:rsidP="00126779">
                      <w:pPr>
                        <w:autoSpaceDE w:val="0"/>
                        <w:autoSpaceDN w:val="0"/>
                        <w:adjustRightInd w:val="0"/>
                        <w:ind w:firstLine="720"/>
                        <w:rPr>
                          <w:rFonts w:eastAsia="Calibri" w:cs="Calibri"/>
                          <w:color w:val="000000"/>
                          <w:sz w:val="20"/>
                        </w:rPr>
                      </w:pPr>
                      <w:r>
                        <w:rPr>
                          <w:rFonts w:eastAsia="Calibri" w:cs="Calibri"/>
                          <w:color w:val="000000"/>
                          <w:sz w:val="20"/>
                        </w:rPr>
                        <w:t xml:space="preserve">    since the start of the Core Strategy period</w:t>
                      </w:r>
                    </w:p>
                    <w:p w:rsidR="0086183F" w:rsidRPr="002237B0" w:rsidRDefault="0086183F" w:rsidP="00126779">
                      <w:pPr>
                        <w:autoSpaceDE w:val="0"/>
                        <w:autoSpaceDN w:val="0"/>
                        <w:adjustRightInd w:val="0"/>
                        <w:ind w:firstLine="720"/>
                        <w:rPr>
                          <w:rFonts w:eastAsia="Calibri" w:cs="Calibri"/>
                          <w:color w:val="000000"/>
                          <w:sz w:val="6"/>
                        </w:rPr>
                      </w:pPr>
                    </w:p>
                    <w:p w:rsidR="0086183F" w:rsidRPr="00FD0817" w:rsidRDefault="0086183F" w:rsidP="00126779">
                      <w:pPr>
                        <w:tabs>
                          <w:tab w:val="left" w:pos="4962"/>
                        </w:tabs>
                        <w:ind w:left="709" w:right="45"/>
                        <w:jc w:val="both"/>
                        <w:rPr>
                          <w:color w:val="404040" w:themeColor="text1" w:themeTint="BF"/>
                        </w:rPr>
                      </w:pPr>
                      <w:r w:rsidRPr="00FD0817">
                        <w:rPr>
                          <w:color w:val="404040" w:themeColor="text1" w:themeTint="BF"/>
                          <w:sz w:val="20"/>
                        </w:rPr>
                        <w:t>Note: T</w:t>
                      </w:r>
                      <w:r>
                        <w:rPr>
                          <w:color w:val="404040" w:themeColor="text1" w:themeTint="BF"/>
                          <w:sz w:val="20"/>
                        </w:rPr>
                        <w:t>his does not include</w:t>
                      </w:r>
                      <w:r w:rsidRPr="00FD0817">
                        <w:rPr>
                          <w:color w:val="404040" w:themeColor="text1" w:themeTint="BF"/>
                          <w:sz w:val="20"/>
                        </w:rPr>
                        <w:t xml:space="preserve"> dwelling equivalent figure</w:t>
                      </w:r>
                      <w:r>
                        <w:rPr>
                          <w:color w:val="404040" w:themeColor="text1" w:themeTint="BF"/>
                          <w:sz w:val="20"/>
                        </w:rPr>
                        <w:t>s</w:t>
                      </w:r>
                      <w:r w:rsidRPr="00FD0817">
                        <w:rPr>
                          <w:color w:val="404040" w:themeColor="text1" w:themeTint="BF"/>
                          <w:sz w:val="20"/>
                        </w:rPr>
                        <w:t xml:space="preserve"> for C2 student accommodation and care home rooms</w:t>
                      </w:r>
                      <w:r>
                        <w:rPr>
                          <w:color w:val="404040" w:themeColor="text1" w:themeTint="BF"/>
                          <w:sz w:val="20"/>
                        </w:rPr>
                        <w:t>.</w:t>
                      </w:r>
                    </w:p>
                    <w:p w:rsidR="0086183F" w:rsidRDefault="0086183F" w:rsidP="00126779">
                      <w:pPr>
                        <w:autoSpaceDE w:val="0"/>
                        <w:autoSpaceDN w:val="0"/>
                        <w:adjustRightInd w:val="0"/>
                        <w:ind w:firstLine="720"/>
                        <w:rPr>
                          <w:rFonts w:eastAsia="Calibri" w:cs="Calibri"/>
                          <w:color w:val="000000"/>
                          <w:sz w:val="20"/>
                        </w:rPr>
                      </w:pPr>
                    </w:p>
                    <w:p w:rsidR="0086183F" w:rsidRPr="00913C04" w:rsidRDefault="0086183F" w:rsidP="00126779">
                      <w:pPr>
                        <w:autoSpaceDE w:val="0"/>
                        <w:autoSpaceDN w:val="0"/>
                        <w:adjustRightInd w:val="0"/>
                        <w:ind w:firstLine="720"/>
                        <w:rPr>
                          <w:rFonts w:eastAsia="Calibri" w:cs="Calibri"/>
                          <w:color w:val="000000"/>
                          <w:sz w:val="20"/>
                        </w:rPr>
                      </w:pPr>
                    </w:p>
                    <w:p w:rsidR="0086183F" w:rsidRDefault="0086183F" w:rsidP="00126779"/>
                  </w:txbxContent>
                </v:textbox>
              </v:shape>
            </w:pict>
          </mc:Fallback>
        </mc:AlternateContent>
      </w:r>
      <w:r w:rsidRPr="00421A3D">
        <w:rPr>
          <w:rFonts w:eastAsia="Calibri" w:cs="Calibri"/>
          <w:szCs w:val="22"/>
        </w:rPr>
        <w:t>T</w:t>
      </w:r>
      <w:r w:rsidRPr="00421A3D">
        <w:rPr>
          <w:rFonts w:asciiTheme="minorHAnsi" w:eastAsia="Calibri" w:hAnsiTheme="minorHAnsi" w:cs="Calibri"/>
          <w:szCs w:val="22"/>
        </w:rPr>
        <w:t>he cumulative number of dwellings completed in the 12 years since the start of the Core Strategy period</w:t>
      </w:r>
      <w:r w:rsidRPr="00421A3D" w:rsidDel="008E68C8">
        <w:rPr>
          <w:rFonts w:asciiTheme="minorHAnsi" w:eastAsia="Calibri" w:hAnsiTheme="minorHAnsi" w:cs="Calibri"/>
          <w:szCs w:val="22"/>
        </w:rPr>
        <w:t xml:space="preserve"> </w:t>
      </w:r>
      <w:r w:rsidRPr="00421A3D">
        <w:rPr>
          <w:rFonts w:asciiTheme="minorHAnsi" w:eastAsia="Calibri" w:hAnsiTheme="minorHAnsi" w:cs="Calibri"/>
          <w:szCs w:val="22"/>
        </w:rPr>
        <w:t xml:space="preserve">(2006/07 to 2017/18) is 4,498 dwellings (net). The cumulative number of completions that might have been expected during this period is 5,250 dwellings (net). Therefore at the end of 2017/18 there </w:t>
      </w:r>
      <w:proofErr w:type="gramStart"/>
      <w:r w:rsidRPr="00421A3D">
        <w:rPr>
          <w:rFonts w:asciiTheme="minorHAnsi" w:eastAsia="Calibri" w:hAnsiTheme="minorHAnsi" w:cs="Calibri"/>
          <w:szCs w:val="22"/>
        </w:rPr>
        <w:t>were  752</w:t>
      </w:r>
      <w:proofErr w:type="gramEnd"/>
      <w:r w:rsidRPr="00421A3D">
        <w:rPr>
          <w:rFonts w:asciiTheme="minorHAnsi" w:eastAsia="Calibri" w:hAnsiTheme="minorHAnsi" w:cs="Calibri"/>
          <w:szCs w:val="22"/>
        </w:rPr>
        <w:t xml:space="preserve"> fewer completed dwellings than might have been expected. </w:t>
      </w:r>
      <w:r w:rsidRPr="00421A3D">
        <w:rPr>
          <w:rFonts w:eastAsia="Calibri" w:cs="Calibri"/>
          <w:szCs w:val="22"/>
        </w:rPr>
        <w:t xml:space="preserve">This should be considered in the context of the 2007/08 financial crisis which had a dramatic impact on the house building industry for several years. It is also important to note that larger schemes are likely to take longer to implement and some of the larger schemes approved in the last couple years are unlikely to be completed in the same year they were approved in. Since 2014/15 the number of completions has steadily been increasing, and </w:t>
      </w:r>
      <w:r w:rsidRPr="00421A3D">
        <w:rPr>
          <w:rFonts w:asciiTheme="minorHAnsi" w:eastAsia="Calibri" w:hAnsiTheme="minorHAnsi" w:cs="Calibri"/>
          <w:szCs w:val="22"/>
        </w:rPr>
        <w:t xml:space="preserve">it </w:t>
      </w:r>
      <w:r w:rsidRPr="00421A3D">
        <w:rPr>
          <w:rFonts w:asciiTheme="minorHAnsi" w:eastAsia="Calibri" w:hAnsiTheme="minorHAnsi" w:cs="Calibri"/>
          <w:szCs w:val="22"/>
        </w:rPr>
        <w:lastRenderedPageBreak/>
        <w:t xml:space="preserve">is anticipated that any shortfall will be further addressed within the next few years, particularly as planning permissions for major schemes such as </w:t>
      </w:r>
      <w:r w:rsidRPr="00421A3D">
        <w:t xml:space="preserve">Barton Park Phase 1 (237 dwellings), </w:t>
      </w:r>
      <w:proofErr w:type="spellStart"/>
      <w:r w:rsidR="00901E0C" w:rsidRPr="00421A3D">
        <w:t>Oxpens</w:t>
      </w:r>
      <w:proofErr w:type="spellEnd"/>
      <w:r w:rsidR="00901E0C" w:rsidRPr="00421A3D">
        <w:t>, the Oxford North and sites at Littlemore are built out.</w:t>
      </w: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Housing Permissions</w:t>
      </w:r>
    </w:p>
    <w:p w:rsidR="00126779" w:rsidRPr="00351DD4" w:rsidRDefault="00126779" w:rsidP="00126779">
      <w:pPr>
        <w:numPr>
          <w:ilvl w:val="1"/>
          <w:numId w:val="8"/>
        </w:numPr>
        <w:tabs>
          <w:tab w:val="left" w:pos="8931"/>
        </w:tabs>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Whilst housing completions are important for considering housing supply and delivery, they only show part of the picture. It is also relevant to consider planning permissions to understand the number of dwellings that the City Council is permitting (Table 8).</w:t>
      </w:r>
    </w:p>
    <w:p w:rsidR="00126779" w:rsidRPr="0070297F" w:rsidRDefault="00126779" w:rsidP="00126779">
      <w:pPr>
        <w:numPr>
          <w:ilvl w:val="1"/>
          <w:numId w:val="8"/>
        </w:numPr>
        <w:tabs>
          <w:tab w:val="left" w:pos="8931"/>
        </w:tabs>
        <w:autoSpaceDE w:val="0"/>
        <w:autoSpaceDN w:val="0"/>
        <w:adjustRightInd w:val="0"/>
        <w:spacing w:after="200" w:line="276" w:lineRule="auto"/>
        <w:ind w:left="567" w:right="-46" w:hanging="567"/>
        <w:jc w:val="both"/>
        <w:rPr>
          <w:rFonts w:eastAsia="Calibri" w:cs="Calibri"/>
          <w:szCs w:val="22"/>
        </w:rPr>
      </w:pPr>
      <w:r w:rsidRPr="0070297F">
        <w:rPr>
          <w:rFonts w:eastAsia="Calibri" w:cs="Calibri"/>
          <w:szCs w:val="22"/>
        </w:rPr>
        <w:t>Table 8 shows C3 self-contained dwellings permitted (net) since the start of the Core Strategy period. This takes into account C3 dwellings gained and lost through new build completions, demolitions, changes of use and conversions.</w:t>
      </w:r>
      <w:r w:rsidRPr="0070297F">
        <w:rPr>
          <w:rFonts w:asciiTheme="minorHAnsi" w:hAnsiTheme="minorHAnsi" w:cstheme="minorHAnsi"/>
          <w:szCs w:val="22"/>
        </w:rPr>
        <w:t xml:space="preserve"> It excludes outline permissions where reserved matters have subsequently been permitted to avoid double counting. Table 8 shows that planning permission was granted for 524 C3 residential dwellings in 2017/18.</w:t>
      </w:r>
    </w:p>
    <w:p w:rsidR="00126779" w:rsidRPr="0070297F" w:rsidRDefault="00126779" w:rsidP="00126779">
      <w:pPr>
        <w:numPr>
          <w:ilvl w:val="1"/>
          <w:numId w:val="8"/>
        </w:numPr>
        <w:tabs>
          <w:tab w:val="left" w:pos="9026"/>
        </w:tabs>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szCs w:val="22"/>
        </w:rPr>
        <w:t>The Corporate Plan 2016-2020 set a target of permitting 400 dwellings each year f</w:t>
      </w:r>
      <w:r>
        <w:rPr>
          <w:rFonts w:asciiTheme="minorHAnsi" w:hAnsiTheme="minorHAnsi" w:cstheme="minorHAnsi"/>
          <w:szCs w:val="22"/>
        </w:rPr>
        <w:t>rom 2016/17 to 2019/20. T</w:t>
      </w:r>
      <w:r w:rsidRPr="00351DD4">
        <w:rPr>
          <w:rFonts w:asciiTheme="minorHAnsi" w:hAnsiTheme="minorHAnsi" w:cstheme="minorHAnsi"/>
          <w:szCs w:val="22"/>
        </w:rPr>
        <w:t xml:space="preserve">he number of </w:t>
      </w:r>
      <w:r w:rsidRPr="0070297F">
        <w:rPr>
          <w:rFonts w:asciiTheme="minorHAnsi" w:hAnsiTheme="minorHAnsi" w:cstheme="minorHAnsi"/>
          <w:szCs w:val="22"/>
        </w:rPr>
        <w:t xml:space="preserve">dwellings permitted in 2017/18 exceeds this target, and on average over the last two years the Council is just above permitting 400 dwellings per year. </w:t>
      </w:r>
      <w:r w:rsidRPr="0070297F">
        <w:rPr>
          <w:rFonts w:eastAsia="Calibri" w:cs="Calibri"/>
          <w:szCs w:val="22"/>
        </w:rPr>
        <w:t>It is normal for completion and permission figures to vary annually and to fluctuate, particularly for an urban authority such as Oxford that is so heavily reliant on small housing sites. If an average is taken based on the cumulative total of 5,250 dwellings being permitted over the 12 year period, it is equivalent to 438 dwellings being permitted each year.</w:t>
      </w:r>
    </w:p>
    <w:p w:rsidR="00126779" w:rsidRPr="0070297F" w:rsidRDefault="00126779" w:rsidP="00126779">
      <w:pPr>
        <w:numPr>
          <w:ilvl w:val="1"/>
          <w:numId w:val="8"/>
        </w:numPr>
        <w:tabs>
          <w:tab w:val="left" w:pos="9026"/>
        </w:tabs>
        <w:autoSpaceDE w:val="0"/>
        <w:autoSpaceDN w:val="0"/>
        <w:adjustRightInd w:val="0"/>
        <w:spacing w:after="200" w:line="276" w:lineRule="auto"/>
        <w:ind w:left="567" w:right="-46" w:hanging="567"/>
        <w:jc w:val="both"/>
        <w:rPr>
          <w:rFonts w:eastAsia="Calibri" w:cs="Calibri"/>
          <w:szCs w:val="22"/>
        </w:rPr>
      </w:pPr>
      <w:r w:rsidRPr="0070297F">
        <w:rPr>
          <w:rFonts w:eastAsia="Calibri" w:cs="Calibri"/>
          <w:szCs w:val="22"/>
        </w:rPr>
        <w:t>In addition, Table 8 only counts C3 dwellings. It does not include dwelling equivalent figures for C2 student accommodation and care home rooms. If these permissions are also included, the total number of homes permitted in 2017/18 would be equivalent to 920 dwellings.</w:t>
      </w: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Boosting housing supply</w:t>
      </w:r>
    </w:p>
    <w:p w:rsidR="00126779" w:rsidRPr="00351DD4" w:rsidRDefault="00126779" w:rsidP="00126779">
      <w:pPr>
        <w:numPr>
          <w:ilvl w:val="1"/>
          <w:numId w:val="8"/>
        </w:numPr>
        <w:tabs>
          <w:tab w:val="left" w:pos="9026"/>
        </w:tabs>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The City Council has taken the lead in promoting new housing development in the city through releasing land, securing funding for infrastructure, and working with developers to masterplan new schemes. The City Council is directly involved in bringing forward over 80% of all significant housing schemes in Oxford in the next five years. For example, the City Council has secured funding for new infrastructure for schemes such as </w:t>
      </w:r>
      <w:proofErr w:type="spellStart"/>
      <w:r w:rsidRPr="00351DD4">
        <w:rPr>
          <w:rFonts w:eastAsia="Calibri" w:cs="Calibri"/>
          <w:szCs w:val="22"/>
        </w:rPr>
        <w:t>Oxpens</w:t>
      </w:r>
      <w:proofErr w:type="spellEnd"/>
      <w:r w:rsidRPr="00351DD4">
        <w:rPr>
          <w:rFonts w:eastAsia="Calibri" w:cs="Calibri"/>
          <w:szCs w:val="22"/>
        </w:rPr>
        <w:t xml:space="preserve"> (expected to deliver 300-500 new homes) and the Northern Gateway (planned to deliver 500 new homes). The City Council is also working actively with the universities, colleges and hospitals to bring forward land they own for housing.</w:t>
      </w:r>
      <w:r w:rsidRPr="00351DD4">
        <w:rPr>
          <w:rFonts w:eastAsia="Times New Roman"/>
          <w:color w:val="1D2129"/>
          <w:lang w:eastAsia="en-GB"/>
        </w:rPr>
        <w:t xml:space="preserve"> </w:t>
      </w:r>
      <w:r w:rsidRPr="00351DD4">
        <w:rPr>
          <w:rFonts w:eastAsia="Calibri" w:cs="Calibri"/>
          <w:szCs w:val="22"/>
        </w:rPr>
        <w:t xml:space="preserve">On top of this, the City Council is involved bringing forward dozens of smaller development projects across the city, including City Council owned sites. </w:t>
      </w:r>
    </w:p>
    <w:p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Student Accommodation and Housing Numbers</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In 2013/14 the Planning Practice Guidance (PPG) introduced that student accommodation can be counted in housing land supply figures. It states ‘</w:t>
      </w:r>
      <w:r w:rsidRPr="00351DD4">
        <w:rPr>
          <w:rFonts w:asciiTheme="minorHAnsi" w:hAnsiTheme="minorHAnsi" w:cstheme="minorHAnsi"/>
          <w:i/>
        </w:rPr>
        <w:t xml:space="preserve">All student accommodation, whether it consists of communal halls of residence or self-contained dwellings, and whether or not it is on campus, can be included towards the housing requirement, based on the amount of </w:t>
      </w:r>
      <w:r w:rsidRPr="00351DD4">
        <w:rPr>
          <w:rFonts w:asciiTheme="minorHAnsi" w:hAnsiTheme="minorHAnsi" w:cstheme="minorHAnsi"/>
          <w:i/>
        </w:rPr>
        <w:lastRenderedPageBreak/>
        <w:t>accommodation it releases in the housing market.’</w:t>
      </w:r>
      <w:r w:rsidRPr="00351DD4">
        <w:rPr>
          <w:rFonts w:asciiTheme="minorHAnsi" w:hAnsiTheme="minorHAnsi" w:cstheme="minorHAnsi"/>
          <w:i/>
          <w:vertAlign w:val="superscript"/>
        </w:rPr>
        <w:footnoteReference w:id="18"/>
      </w:r>
      <w:r w:rsidRPr="00351DD4">
        <w:rPr>
          <w:rFonts w:asciiTheme="minorHAnsi" w:hAnsiTheme="minorHAnsi" w:cstheme="minorHAnsi"/>
        </w:rPr>
        <w:t xml:space="preserve"> In Oxford, where there are large numbers of students, provision of purpose-built student accommodation can have a significant impact on the housing market.</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 xml:space="preserve">The question of the ‘amount of accommodation it releases in the market’ is not defined in the PPG and it is up to local authorities to determine based on local circumstances. It is estimated that houses in Oxford, when occupied by students that house share, may contain between four and six students per house. Many houses in Oxford are inter-war semi-detached properties or Victorian terraces with three bedrooms plus a living room/dining room sometimes used as a fourth bedroom. There are also many larger properties, particularly in North </w:t>
      </w:r>
      <w:proofErr w:type="gramStart"/>
      <w:r w:rsidRPr="00351DD4">
        <w:rPr>
          <w:rFonts w:asciiTheme="minorHAnsi" w:hAnsiTheme="minorHAnsi" w:cstheme="minorHAnsi"/>
        </w:rPr>
        <w:t>Oxford, that</w:t>
      </w:r>
      <w:proofErr w:type="gramEnd"/>
      <w:r w:rsidRPr="00351DD4">
        <w:rPr>
          <w:rFonts w:asciiTheme="minorHAnsi" w:hAnsiTheme="minorHAnsi" w:cstheme="minorHAnsi"/>
        </w:rPr>
        <w:t xml:space="preserve"> may house six or more students each. Taking the mid-point of five, it is reasonable to assume that developing five student rooms would release the equivalent of one dwelling in the housing market. For example, a site being proposed for 100 student rooms will be assessed as delivering 20 equivalent ‘dwellings’ as those 100 students would have, on average, occupied 20 houses in the open market. Data about the occupancy rates of HMOs across Oxford affirms that an average of 5 people sharing an HMO property (which are often occupied by students) was observed in 2015. This was also supported following the ‘check and challenge’ of the City Council’s Housing and Employment Land Avai</w:t>
      </w:r>
      <w:r w:rsidR="00421A3D">
        <w:rPr>
          <w:rFonts w:asciiTheme="minorHAnsi" w:hAnsiTheme="minorHAnsi" w:cstheme="minorHAnsi"/>
        </w:rPr>
        <w:t>lability Assessment (HELAA) 2017</w:t>
      </w:r>
      <w:r w:rsidRPr="00351DD4">
        <w:rPr>
          <w:rFonts w:asciiTheme="minorHAnsi" w:hAnsiTheme="minorHAnsi" w:cstheme="minorHAnsi"/>
        </w:rPr>
        <w:t>.</w:t>
      </w:r>
    </w:p>
    <w:tbl>
      <w:tblPr>
        <w:tblStyle w:val="TableGrid102"/>
        <w:tblW w:w="0" w:type="auto"/>
        <w:tblInd w:w="124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551"/>
        <w:gridCol w:w="2552"/>
        <w:gridCol w:w="2552"/>
      </w:tblGrid>
      <w:tr w:rsidR="00126779" w:rsidRPr="00351DD4" w:rsidTr="00126779">
        <w:tc>
          <w:tcPr>
            <w:tcW w:w="2551" w:type="dxa"/>
            <w:shd w:val="clear" w:color="auto" w:fill="FDE9D9" w:themeFill="accent6" w:themeFillTint="33"/>
            <w:vAlign w:val="center"/>
          </w:tcPr>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Monitoring year</w:t>
            </w:r>
          </w:p>
        </w:tc>
        <w:tc>
          <w:tcPr>
            <w:tcW w:w="2552" w:type="dxa"/>
            <w:shd w:val="clear" w:color="auto" w:fill="FDE9D9" w:themeFill="accent6" w:themeFillTint="33"/>
          </w:tcPr>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Number of student</w:t>
            </w:r>
          </w:p>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 xml:space="preserve"> rooms completed</w:t>
            </w:r>
          </w:p>
        </w:tc>
        <w:tc>
          <w:tcPr>
            <w:tcW w:w="2552" w:type="dxa"/>
            <w:shd w:val="clear" w:color="auto" w:fill="FDE9D9" w:themeFill="accent6" w:themeFillTint="33"/>
          </w:tcPr>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 xml:space="preserve">Number of </w:t>
            </w:r>
          </w:p>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equivalent ‘dwellings’</w:t>
            </w:r>
          </w:p>
        </w:tc>
      </w:tr>
      <w:tr w:rsidR="00126779" w:rsidRPr="00351DD4" w:rsidTr="00126779">
        <w:tc>
          <w:tcPr>
            <w:tcW w:w="2551" w:type="dxa"/>
            <w:shd w:val="clear" w:color="auto" w:fill="auto"/>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2013/14</w:t>
            </w:r>
          </w:p>
        </w:tc>
        <w:tc>
          <w:tcPr>
            <w:tcW w:w="2552" w:type="dxa"/>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720</w:t>
            </w:r>
          </w:p>
        </w:tc>
        <w:tc>
          <w:tcPr>
            <w:tcW w:w="2552" w:type="dxa"/>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144</w:t>
            </w:r>
          </w:p>
        </w:tc>
      </w:tr>
      <w:tr w:rsidR="00126779" w:rsidRPr="00351DD4" w:rsidTr="00126779">
        <w:tc>
          <w:tcPr>
            <w:tcW w:w="2551" w:type="dxa"/>
            <w:shd w:val="clear" w:color="auto" w:fill="auto"/>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2014/15</w:t>
            </w:r>
          </w:p>
        </w:tc>
        <w:tc>
          <w:tcPr>
            <w:tcW w:w="2552" w:type="dxa"/>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312</w:t>
            </w:r>
          </w:p>
        </w:tc>
        <w:tc>
          <w:tcPr>
            <w:tcW w:w="2552" w:type="dxa"/>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62</w:t>
            </w:r>
          </w:p>
        </w:tc>
      </w:tr>
      <w:tr w:rsidR="00126779" w:rsidRPr="00351DD4" w:rsidTr="00126779">
        <w:tc>
          <w:tcPr>
            <w:tcW w:w="2551" w:type="dxa"/>
            <w:shd w:val="clear" w:color="auto" w:fill="auto"/>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2015/16</w:t>
            </w:r>
          </w:p>
        </w:tc>
        <w:tc>
          <w:tcPr>
            <w:tcW w:w="2552" w:type="dxa"/>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125</w:t>
            </w:r>
          </w:p>
        </w:tc>
        <w:tc>
          <w:tcPr>
            <w:tcW w:w="2552" w:type="dxa"/>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25</w:t>
            </w:r>
          </w:p>
        </w:tc>
      </w:tr>
      <w:tr w:rsidR="00126779" w:rsidRPr="00351DD4" w:rsidTr="00126779">
        <w:tc>
          <w:tcPr>
            <w:tcW w:w="2551" w:type="dxa"/>
            <w:shd w:val="clear" w:color="auto" w:fill="auto"/>
          </w:tcPr>
          <w:p w:rsidR="00126779" w:rsidRPr="00351DD4" w:rsidRDefault="00126779"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2016/17</w:t>
            </w:r>
          </w:p>
        </w:tc>
        <w:tc>
          <w:tcPr>
            <w:tcW w:w="2552" w:type="dxa"/>
          </w:tcPr>
          <w:p w:rsidR="00126779" w:rsidRPr="00351DD4" w:rsidRDefault="00126779" w:rsidP="00126779">
            <w:pPr>
              <w:jc w:val="center"/>
              <w:rPr>
                <w:rFonts w:asciiTheme="minorHAnsi" w:eastAsia="Times New Roman" w:hAnsiTheme="minorHAnsi" w:cstheme="minorHAnsi"/>
                <w:color w:val="262626" w:themeColor="text1" w:themeTint="D9"/>
                <w:sz w:val="20"/>
              </w:rPr>
            </w:pPr>
            <w:r w:rsidRPr="00351DD4">
              <w:rPr>
                <w:rFonts w:asciiTheme="minorHAnsi" w:hAnsiTheme="minorHAnsi" w:cstheme="minorHAnsi"/>
                <w:color w:val="262626" w:themeColor="text1" w:themeTint="D9"/>
                <w:sz w:val="20"/>
              </w:rPr>
              <w:t>295</w:t>
            </w:r>
          </w:p>
        </w:tc>
        <w:tc>
          <w:tcPr>
            <w:tcW w:w="2552" w:type="dxa"/>
          </w:tcPr>
          <w:p w:rsidR="00126779" w:rsidRPr="00351DD4" w:rsidRDefault="00126779" w:rsidP="00126779">
            <w:pPr>
              <w:jc w:val="center"/>
              <w:rPr>
                <w:rFonts w:asciiTheme="minorHAnsi" w:eastAsia="Times New Roman" w:hAnsiTheme="minorHAnsi" w:cstheme="minorHAnsi"/>
                <w:color w:val="262626" w:themeColor="text1" w:themeTint="D9"/>
                <w:sz w:val="20"/>
              </w:rPr>
            </w:pPr>
            <w:r w:rsidRPr="00351DD4">
              <w:rPr>
                <w:rFonts w:asciiTheme="minorHAnsi" w:hAnsiTheme="minorHAnsi" w:cstheme="minorHAnsi"/>
                <w:color w:val="262626" w:themeColor="text1" w:themeTint="D9"/>
                <w:sz w:val="20"/>
              </w:rPr>
              <w:t>59</w:t>
            </w:r>
          </w:p>
        </w:tc>
      </w:tr>
      <w:tr w:rsidR="00126779" w:rsidRPr="00351DD4" w:rsidTr="00126779">
        <w:tc>
          <w:tcPr>
            <w:tcW w:w="2551" w:type="dxa"/>
            <w:shd w:val="clear" w:color="auto" w:fill="auto"/>
          </w:tcPr>
          <w:p w:rsidR="00126779" w:rsidRPr="00351DD4" w:rsidRDefault="00126779"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2017/18</w:t>
            </w:r>
          </w:p>
        </w:tc>
        <w:tc>
          <w:tcPr>
            <w:tcW w:w="2552" w:type="dxa"/>
          </w:tcPr>
          <w:p w:rsidR="00126779" w:rsidRPr="00351DD4" w:rsidRDefault="00126779"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472</w:t>
            </w:r>
          </w:p>
        </w:tc>
        <w:tc>
          <w:tcPr>
            <w:tcW w:w="2552" w:type="dxa"/>
          </w:tcPr>
          <w:p w:rsidR="00126779" w:rsidRPr="00351DD4" w:rsidRDefault="00126779"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94</w:t>
            </w:r>
          </w:p>
        </w:tc>
      </w:tr>
    </w:tbl>
    <w:p w:rsidR="00126779" w:rsidRPr="00351DD4" w:rsidRDefault="00126779" w:rsidP="00126779">
      <w:pPr>
        <w:autoSpaceDE w:val="0"/>
        <w:autoSpaceDN w:val="0"/>
        <w:adjustRightInd w:val="0"/>
        <w:spacing w:after="200" w:line="276" w:lineRule="auto"/>
        <w:ind w:left="357"/>
        <w:jc w:val="center"/>
        <w:rPr>
          <w:rFonts w:eastAsia="Calibri" w:cs="Calibri"/>
          <w:color w:val="000000"/>
          <w:sz w:val="20"/>
          <w:szCs w:val="22"/>
        </w:rPr>
      </w:pPr>
      <w:r w:rsidRPr="00351DD4">
        <w:rPr>
          <w:rFonts w:eastAsia="Calibri" w:cs="Calibri"/>
          <w:b/>
          <w:color w:val="000000"/>
          <w:sz w:val="20"/>
          <w:szCs w:val="22"/>
        </w:rPr>
        <w:t xml:space="preserve">Table 9: </w:t>
      </w:r>
      <w:r w:rsidRPr="00351DD4">
        <w:rPr>
          <w:rFonts w:eastAsia="Calibri" w:cs="Calibri"/>
          <w:color w:val="000000"/>
          <w:sz w:val="20"/>
          <w:szCs w:val="22"/>
        </w:rPr>
        <w:t>Student housing completions and equ</w:t>
      </w:r>
      <w:r>
        <w:rPr>
          <w:rFonts w:eastAsia="Calibri" w:cs="Calibri"/>
          <w:color w:val="000000"/>
          <w:sz w:val="20"/>
          <w:szCs w:val="22"/>
        </w:rPr>
        <w:t>ivalent ‘dwellings’ 2013/14-2017/18</w:t>
      </w:r>
    </w:p>
    <w:p w:rsidR="00126779" w:rsidRPr="00351DD4" w:rsidRDefault="00126779" w:rsidP="00126779">
      <w:pPr>
        <w:autoSpaceDE w:val="0"/>
        <w:autoSpaceDN w:val="0"/>
        <w:adjustRightInd w:val="0"/>
        <w:spacing w:line="276" w:lineRule="auto"/>
        <w:ind w:left="360"/>
        <w:contextualSpacing/>
        <w:jc w:val="center"/>
        <w:rPr>
          <w:rFonts w:eastAsia="Calibri" w:cs="Calibri"/>
          <w:b/>
          <w:color w:val="000000"/>
          <w:sz w:val="8"/>
          <w:szCs w:val="8"/>
        </w:rPr>
      </w:pP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 xml:space="preserve">Table </w:t>
      </w:r>
      <w:r w:rsidRPr="00351DD4">
        <w:rPr>
          <w:rFonts w:eastAsia="Calibri" w:cs="Calibri"/>
          <w:szCs w:val="22"/>
        </w:rPr>
        <w:t>9</w:t>
      </w:r>
      <w:r w:rsidRPr="00351DD4">
        <w:rPr>
          <w:rFonts w:asciiTheme="minorHAnsi" w:hAnsiTheme="minorHAnsi" w:cstheme="minorHAnsi"/>
        </w:rPr>
        <w:t xml:space="preserve"> shows the number of student accommodation rooms completed since the guidance was introduced and the equivalent number of dwellings that have been counted alongside C3 residential dwellings and C2 care home rooms to calculate the total residential completions shown in Table </w:t>
      </w:r>
      <w:r w:rsidRPr="00351DD4">
        <w:rPr>
          <w:rFonts w:eastAsia="Calibri" w:cs="Calibri"/>
          <w:szCs w:val="22"/>
        </w:rPr>
        <w:t>7</w:t>
      </w:r>
      <w:r w:rsidRPr="00351DD4">
        <w:rPr>
          <w:rFonts w:asciiTheme="minorHAnsi" w:hAnsiTheme="minorHAnsi" w:cstheme="minorHAnsi"/>
        </w:rPr>
        <w:t xml:space="preserve">.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It s</w:t>
      </w:r>
      <w:r>
        <w:rPr>
          <w:rFonts w:asciiTheme="minorHAnsi" w:hAnsiTheme="minorHAnsi" w:cstheme="minorHAnsi"/>
        </w:rPr>
        <w:t>hould also be noted that in 2017/18</w:t>
      </w:r>
      <w:r w:rsidRPr="00351DD4">
        <w:rPr>
          <w:rFonts w:asciiTheme="minorHAnsi" w:hAnsiTheme="minorHAnsi" w:cstheme="minorHAnsi"/>
        </w:rPr>
        <w:t xml:space="preserve"> planning permission was granted for </w:t>
      </w:r>
      <w:r>
        <w:rPr>
          <w:rFonts w:asciiTheme="minorHAnsi" w:hAnsiTheme="minorHAnsi" w:cstheme="minorHAnsi"/>
          <w:szCs w:val="22"/>
        </w:rPr>
        <w:t>1978</w:t>
      </w:r>
      <w:r w:rsidRPr="00351DD4">
        <w:rPr>
          <w:rFonts w:asciiTheme="minorHAnsi" w:hAnsiTheme="minorHAnsi" w:cstheme="minorHAnsi"/>
        </w:rPr>
        <w:t xml:space="preserve"> (net) student accommodation rooms in Oxford. Using this approach, this will provide a further </w:t>
      </w:r>
      <w:r>
        <w:rPr>
          <w:rFonts w:asciiTheme="minorHAnsi" w:hAnsiTheme="minorHAnsi" w:cstheme="minorHAnsi"/>
          <w:szCs w:val="22"/>
        </w:rPr>
        <w:t>395</w:t>
      </w:r>
      <w:r w:rsidRPr="00351DD4">
        <w:rPr>
          <w:rFonts w:asciiTheme="minorHAnsi" w:hAnsiTheme="minorHAnsi" w:cstheme="minorHAnsi"/>
        </w:rPr>
        <w:t xml:space="preserve"> equivalent ‘dwellings’ towards Oxford’s housing supply.</w:t>
      </w:r>
    </w:p>
    <w:p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Care Homes and Housing Numbers</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In 2013/14 the PPG also introduced that care homes can be counted in housing land supply figures. It states: “</w:t>
      </w:r>
      <w:r w:rsidRPr="00351DD4">
        <w:rPr>
          <w:rFonts w:asciiTheme="minorHAnsi" w:hAnsiTheme="minorHAnsi" w:cstheme="minorHAnsi"/>
          <w:i/>
        </w:rPr>
        <w:t>Local planning authorities should count housing provided for older people, including residential institutions in Use Class C2, against their housing requirement.</w:t>
      </w:r>
      <w:r w:rsidRPr="00351DD4">
        <w:rPr>
          <w:rFonts w:asciiTheme="minorHAnsi" w:hAnsiTheme="minorHAnsi" w:cstheme="minorHAnsi"/>
        </w:rPr>
        <w:t>”</w:t>
      </w:r>
      <w:r w:rsidRPr="00351DD4">
        <w:rPr>
          <w:rFonts w:asciiTheme="minorHAnsi" w:hAnsiTheme="minorHAnsi" w:cstheme="minorHAnsi"/>
          <w:vertAlign w:val="superscript"/>
        </w:rPr>
        <w:footnoteReference w:id="19"/>
      </w:r>
      <w:r w:rsidRPr="00351DD4">
        <w:rPr>
          <w:rFonts w:asciiTheme="minorHAnsi" w:hAnsiTheme="minorHAnsi" w:cstheme="minorHAnsi"/>
        </w:rPr>
        <w:t xml:space="preserve">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lastRenderedPageBreak/>
        <w:t>The City Council has always counted housing for the elderly in its housing supply if it consists of C3 self-contained dwellings. The Guidance widens this to include potentially non self-contained C2 care home rooms as well. The Guidance does not provide any methodology as to how they should be counted. A reasonable approach would be to consider it in a similar way to student accommodation above as in how many dwellings it releases in the housing market.</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 xml:space="preserve">The City Council has taken the approach that one room in a C2 care home would on average release one dwelling in the housing market. Therefore where a residential care home is likely to be developed on a site, or where one has been completed, a 1:1 ratio of rooms to dwellings delivered will be applied.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lang w:val="en-US"/>
        </w:rPr>
      </w:pPr>
      <w:r>
        <w:rPr>
          <w:rFonts w:eastAsia="Calibri" w:cs="Calibri"/>
          <w:szCs w:val="22"/>
        </w:rPr>
        <w:t>In 2017/18</w:t>
      </w:r>
      <w:r w:rsidRPr="00351DD4">
        <w:rPr>
          <w:rFonts w:eastAsia="Calibri" w:cs="Calibri"/>
          <w:szCs w:val="22"/>
        </w:rPr>
        <w:t xml:space="preserve"> </w:t>
      </w:r>
      <w:r>
        <w:rPr>
          <w:rFonts w:asciiTheme="minorHAnsi" w:hAnsiTheme="minorHAnsi" w:cstheme="minorHAnsi"/>
          <w:szCs w:val="22"/>
        </w:rPr>
        <w:t>there was</w:t>
      </w:r>
      <w:r w:rsidR="00421A3D">
        <w:rPr>
          <w:rFonts w:asciiTheme="minorHAnsi" w:hAnsiTheme="minorHAnsi" w:cstheme="minorHAnsi"/>
          <w:szCs w:val="22"/>
        </w:rPr>
        <w:t xml:space="preserve"> no</w:t>
      </w:r>
      <w:r>
        <w:rPr>
          <w:rFonts w:asciiTheme="minorHAnsi" w:hAnsiTheme="minorHAnsi" w:cstheme="minorHAnsi"/>
          <w:szCs w:val="22"/>
        </w:rPr>
        <w:t xml:space="preserve"> development </w:t>
      </w:r>
      <w:r w:rsidR="00421A3D">
        <w:rPr>
          <w:rFonts w:asciiTheme="minorHAnsi" w:hAnsiTheme="minorHAnsi" w:cstheme="minorHAnsi"/>
          <w:szCs w:val="22"/>
        </w:rPr>
        <w:t>involving</w:t>
      </w:r>
      <w:r>
        <w:rPr>
          <w:rFonts w:asciiTheme="minorHAnsi" w:hAnsiTheme="minorHAnsi" w:cstheme="minorHAnsi"/>
          <w:szCs w:val="22"/>
        </w:rPr>
        <w:t xml:space="preserve"> care homes and therefore no net change in the number of care homes </w:t>
      </w:r>
      <w:r w:rsidRPr="00351DD4">
        <w:rPr>
          <w:rFonts w:eastAsia="Calibri" w:cs="Calibri"/>
          <w:szCs w:val="22"/>
        </w:rPr>
        <w:t xml:space="preserve">in Oxford.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Pr>
          <w:rFonts w:asciiTheme="minorHAnsi" w:hAnsiTheme="minorHAnsi" w:cstheme="minorHAnsi"/>
        </w:rPr>
        <w:t>In 2017/18</w:t>
      </w:r>
      <w:r w:rsidRPr="00351DD4">
        <w:rPr>
          <w:rFonts w:asciiTheme="minorHAnsi" w:hAnsiTheme="minorHAnsi" w:cstheme="minorHAnsi"/>
        </w:rPr>
        <w:t xml:space="preserve"> planning permission was granted for </w:t>
      </w:r>
      <w:r>
        <w:rPr>
          <w:rFonts w:asciiTheme="minorHAnsi" w:hAnsiTheme="minorHAnsi" w:cstheme="minorHAnsi"/>
          <w:szCs w:val="22"/>
        </w:rPr>
        <w:t>a net loss of 11</w:t>
      </w:r>
      <w:r w:rsidRPr="00351DD4">
        <w:rPr>
          <w:rFonts w:asciiTheme="minorHAnsi" w:hAnsiTheme="minorHAnsi" w:cstheme="minorHAnsi"/>
        </w:rPr>
        <w:t xml:space="preserve"> care home rooms in Oxford. </w:t>
      </w:r>
    </w:p>
    <w:p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 xml:space="preserve">Housing Trajectory </w:t>
      </w:r>
    </w:p>
    <w:p w:rsidR="00126779" w:rsidRPr="003B5B83" w:rsidRDefault="00126779" w:rsidP="00126779">
      <w:pPr>
        <w:numPr>
          <w:ilvl w:val="1"/>
          <w:numId w:val="8"/>
        </w:numPr>
        <w:autoSpaceDE w:val="0"/>
        <w:autoSpaceDN w:val="0"/>
        <w:adjustRightInd w:val="0"/>
        <w:spacing w:line="276" w:lineRule="auto"/>
        <w:ind w:left="567" w:right="-45" w:hanging="567"/>
        <w:jc w:val="both"/>
        <w:rPr>
          <w:rFonts w:eastAsia="Calibri" w:cs="Calibri"/>
          <w:szCs w:val="22"/>
        </w:rPr>
      </w:pPr>
      <w:r w:rsidRPr="00351DD4">
        <w:rPr>
          <w:rFonts w:asciiTheme="minorHAnsi" w:hAnsiTheme="minorHAnsi" w:cstheme="minorHAnsi"/>
        </w:rPr>
        <w:t xml:space="preserve">The housing trajectory is a tool used to estimate the number of homes likely to be built in Oxford during the rest of the Core Strategy period up to 2026 (Figure </w:t>
      </w:r>
      <w:r w:rsidRPr="00351DD4">
        <w:rPr>
          <w:rFonts w:eastAsia="Calibri" w:cs="Calibri"/>
          <w:szCs w:val="22"/>
        </w:rPr>
        <w:t>2</w:t>
      </w:r>
      <w:r w:rsidRPr="00351DD4">
        <w:rPr>
          <w:rFonts w:asciiTheme="minorHAnsi" w:hAnsiTheme="minorHAnsi" w:cstheme="minorHAnsi"/>
        </w:rPr>
        <w:t>).</w:t>
      </w:r>
    </w:p>
    <w:p w:rsidR="00126779" w:rsidRPr="00351DD4"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r>
        <w:rPr>
          <w:noProof/>
          <w:lang w:eastAsia="en-GB"/>
        </w:rPr>
        <w:drawing>
          <wp:anchor distT="0" distB="0" distL="114300" distR="114300" simplePos="0" relativeHeight="251683840" behindDoc="0" locked="0" layoutInCell="1" allowOverlap="1" wp14:anchorId="152738B0" wp14:editId="1CB684E4">
            <wp:simplePos x="0" y="0"/>
            <wp:positionH relativeFrom="column">
              <wp:posOffset>0</wp:posOffset>
            </wp:positionH>
            <wp:positionV relativeFrom="paragraph">
              <wp:posOffset>0</wp:posOffset>
            </wp:positionV>
            <wp:extent cx="5886450" cy="4524375"/>
            <wp:effectExtent l="0" t="0" r="19050" b="9525"/>
            <wp:wrapNone/>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Default="00126779" w:rsidP="00126779">
      <w:pPr>
        <w:autoSpaceDE w:val="0"/>
        <w:autoSpaceDN w:val="0"/>
        <w:adjustRightInd w:val="0"/>
        <w:spacing w:after="200" w:line="276" w:lineRule="auto"/>
        <w:ind w:right="-46"/>
        <w:jc w:val="center"/>
        <w:rPr>
          <w:rFonts w:eastAsia="Calibri" w:cs="Calibri"/>
          <w:b/>
          <w:color w:val="000000"/>
          <w:sz w:val="20"/>
          <w:szCs w:val="22"/>
        </w:rPr>
      </w:pPr>
    </w:p>
    <w:p w:rsidR="00126779" w:rsidRPr="00351DD4" w:rsidRDefault="00126779" w:rsidP="00126779">
      <w:pPr>
        <w:autoSpaceDE w:val="0"/>
        <w:autoSpaceDN w:val="0"/>
        <w:adjustRightInd w:val="0"/>
        <w:spacing w:after="200" w:line="276" w:lineRule="auto"/>
        <w:ind w:right="-46"/>
        <w:jc w:val="center"/>
        <w:rPr>
          <w:rFonts w:eastAsia="Calibri" w:cs="Calibri"/>
          <w:szCs w:val="22"/>
        </w:rPr>
      </w:pPr>
      <w:r w:rsidRPr="00351DD4">
        <w:rPr>
          <w:rFonts w:eastAsia="Calibri" w:cs="Calibri"/>
          <w:b/>
          <w:color w:val="000000"/>
          <w:sz w:val="20"/>
          <w:szCs w:val="22"/>
        </w:rPr>
        <w:t xml:space="preserve">Figure 2: </w:t>
      </w:r>
      <w:r w:rsidRPr="00351DD4">
        <w:rPr>
          <w:rFonts w:eastAsia="Calibri" w:cs="Calibri"/>
          <w:color w:val="000000"/>
          <w:sz w:val="20"/>
          <w:szCs w:val="22"/>
        </w:rPr>
        <w:t>Housing trajectory to 2026</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Calibri"/>
          <w:szCs w:val="22"/>
        </w:rPr>
      </w:pPr>
      <w:r>
        <w:rPr>
          <w:rFonts w:eastAsia="Calibri" w:cs="Calibri"/>
          <w:szCs w:val="22"/>
        </w:rPr>
        <w:lastRenderedPageBreak/>
        <w:t>The green</w:t>
      </w:r>
      <w:r w:rsidRPr="00351DD4">
        <w:rPr>
          <w:rFonts w:eastAsia="Calibri" w:cs="Calibri"/>
          <w:szCs w:val="22"/>
        </w:rPr>
        <w:t xml:space="preserve"> ‘manage’ line of the trajectory graph (Figure 2) shows that, on the basis of the current pipeline of planning permissions and other sites expected to come forward during the plan period (such as allocated sites, sites identified through the Housing and Employment Land Availability Assessment and windfalls), we are on target to meet the Core Strategy housing target of 8,000 new homes (Policy CS22) by 2023/24, prior to the end of the Core Strategy period in 2026. Indications are that housing completions will be boosted in the next five to six years as major schemes including Barton Park, two sites in Littlemore, </w:t>
      </w:r>
      <w:r w:rsidR="00421A3D">
        <w:rPr>
          <w:rFonts w:eastAsia="Calibri" w:cs="Calibri"/>
          <w:szCs w:val="22"/>
        </w:rPr>
        <w:t>Oxford North</w:t>
      </w:r>
      <w:r w:rsidRPr="00351DD4">
        <w:rPr>
          <w:rFonts w:eastAsia="Calibri" w:cs="Calibri"/>
          <w:szCs w:val="22"/>
        </w:rPr>
        <w:t xml:space="preserve">, and </w:t>
      </w:r>
      <w:proofErr w:type="spellStart"/>
      <w:r w:rsidRPr="00351DD4">
        <w:rPr>
          <w:rFonts w:eastAsia="Calibri" w:cs="Calibri"/>
          <w:szCs w:val="22"/>
        </w:rPr>
        <w:t>Oxpens</w:t>
      </w:r>
      <w:proofErr w:type="spellEnd"/>
      <w:r w:rsidRPr="00351DD4">
        <w:rPr>
          <w:rFonts w:eastAsia="Calibri" w:cs="Calibri"/>
          <w:szCs w:val="22"/>
        </w:rPr>
        <w:t xml:space="preserve"> are expected to be implemented. </w:t>
      </w:r>
    </w:p>
    <w:p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Housing Land Supply</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Calibri"/>
          <w:szCs w:val="22"/>
        </w:rPr>
      </w:pPr>
      <w:r w:rsidRPr="00351DD4">
        <w:rPr>
          <w:rFonts w:eastAsia="Calibri" w:cs="Calibri"/>
          <w:szCs w:val="22"/>
        </w:rPr>
        <w:t>Taking into account residential permissions a</w:t>
      </w:r>
      <w:r>
        <w:rPr>
          <w:rFonts w:eastAsia="Calibri" w:cs="Calibri"/>
          <w:szCs w:val="22"/>
        </w:rPr>
        <w:t>nd completions, at 31 March 2018</w:t>
      </w:r>
      <w:r w:rsidRPr="00351DD4">
        <w:rPr>
          <w:rFonts w:eastAsia="Calibri" w:cs="Calibri"/>
          <w:szCs w:val="22"/>
        </w:rPr>
        <w:t xml:space="preserve"> Oxford’s housing land supply was </w:t>
      </w:r>
      <w:r>
        <w:rPr>
          <w:rFonts w:asciiTheme="minorHAnsi" w:hAnsiTheme="minorHAnsi" w:cstheme="minorHAnsi"/>
          <w:szCs w:val="22"/>
        </w:rPr>
        <w:t>6.63</w:t>
      </w:r>
      <w:r w:rsidRPr="00351DD4">
        <w:rPr>
          <w:rFonts w:eastAsia="Calibri" w:cs="Calibri"/>
          <w:szCs w:val="22"/>
        </w:rPr>
        <w:t xml:space="preserve"> years (Table 10).</w:t>
      </w:r>
    </w:p>
    <w:tbl>
      <w:tblPr>
        <w:tblStyle w:val="TableGrid132"/>
        <w:tblW w:w="8363" w:type="dxa"/>
        <w:tblInd w:w="39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425"/>
        <w:gridCol w:w="6095"/>
        <w:gridCol w:w="1843"/>
      </w:tblGrid>
      <w:tr w:rsidR="00126779" w:rsidRPr="00351DD4" w:rsidTr="00126779">
        <w:tc>
          <w:tcPr>
            <w:tcW w:w="425" w:type="dxa"/>
            <w:tcBorders>
              <w:top w:val="nil"/>
              <w:left w:val="nil"/>
            </w:tcBorders>
          </w:tcPr>
          <w:p w:rsidR="00126779" w:rsidRPr="00351DD4" w:rsidRDefault="00126779" w:rsidP="00126779">
            <w:pPr>
              <w:spacing w:before="60" w:after="60"/>
              <w:rPr>
                <w:rFonts w:asciiTheme="minorHAnsi" w:hAnsiTheme="minorHAnsi" w:cstheme="minorHAnsi"/>
                <w:b/>
                <w:sz w:val="20"/>
                <w:szCs w:val="20"/>
              </w:rPr>
            </w:pPr>
          </w:p>
        </w:tc>
        <w:tc>
          <w:tcPr>
            <w:tcW w:w="6095" w:type="dxa"/>
            <w:shd w:val="clear" w:color="auto" w:fill="FDE9D9" w:themeFill="accent6" w:themeFillTint="33"/>
          </w:tcPr>
          <w:p w:rsidR="00126779" w:rsidRPr="00351DD4" w:rsidRDefault="00126779" w:rsidP="00126779">
            <w:pPr>
              <w:spacing w:before="60" w:after="60"/>
              <w:rPr>
                <w:rFonts w:asciiTheme="minorHAnsi" w:hAnsiTheme="minorHAnsi" w:cstheme="minorHAnsi"/>
                <w:b/>
                <w:color w:val="262626" w:themeColor="text1" w:themeTint="D9"/>
                <w:sz w:val="20"/>
                <w:szCs w:val="20"/>
              </w:rPr>
            </w:pPr>
            <w:r w:rsidRPr="00351DD4">
              <w:rPr>
                <w:rFonts w:asciiTheme="minorHAnsi" w:hAnsiTheme="minorHAnsi" w:cstheme="minorHAnsi"/>
                <w:b/>
                <w:color w:val="262626" w:themeColor="text1" w:themeTint="D9"/>
                <w:sz w:val="20"/>
                <w:szCs w:val="20"/>
              </w:rPr>
              <w:t>Methodology</w:t>
            </w:r>
          </w:p>
        </w:tc>
        <w:tc>
          <w:tcPr>
            <w:tcW w:w="1843" w:type="dxa"/>
            <w:shd w:val="clear" w:color="auto" w:fill="FDE9D9" w:themeFill="accent6" w:themeFillTint="33"/>
          </w:tcPr>
          <w:p w:rsidR="00126779" w:rsidRPr="00351DD4" w:rsidRDefault="00126779" w:rsidP="00126779">
            <w:pPr>
              <w:spacing w:before="60" w:after="60"/>
              <w:jc w:val="center"/>
              <w:rPr>
                <w:rFonts w:asciiTheme="minorHAnsi" w:hAnsiTheme="minorHAnsi" w:cstheme="minorHAnsi"/>
                <w:b/>
                <w:color w:val="262626" w:themeColor="text1" w:themeTint="D9"/>
                <w:sz w:val="20"/>
                <w:szCs w:val="20"/>
              </w:rPr>
            </w:pPr>
            <w:r w:rsidRPr="00351DD4">
              <w:rPr>
                <w:rFonts w:asciiTheme="minorHAnsi" w:hAnsiTheme="minorHAnsi" w:cstheme="minorHAnsi"/>
                <w:b/>
                <w:color w:val="262626" w:themeColor="text1" w:themeTint="D9"/>
                <w:sz w:val="20"/>
                <w:szCs w:val="20"/>
              </w:rPr>
              <w:t>Figure</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A</w:t>
            </w:r>
          </w:p>
        </w:tc>
        <w:tc>
          <w:tcPr>
            <w:tcW w:w="6095" w:type="dxa"/>
          </w:tcPr>
          <w:p w:rsidR="00126779" w:rsidRPr="00351DD4" w:rsidRDefault="00126779" w:rsidP="00126779">
            <w:pPr>
              <w:spacing w:before="60"/>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Housing target in the adopted local plan </w:t>
            </w:r>
          </w:p>
          <w:p w:rsidR="00126779" w:rsidRPr="00351DD4" w:rsidRDefault="00126779" w:rsidP="00126779">
            <w:pPr>
              <w:spacing w:before="60" w:after="60"/>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(Whole plan period 2006/7 to 2025/26)</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8,000</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B</w:t>
            </w:r>
          </w:p>
        </w:tc>
        <w:tc>
          <w:tcPr>
            <w:tcW w:w="6095" w:type="dxa"/>
          </w:tcPr>
          <w:p w:rsidR="00126779" w:rsidRPr="00351DD4" w:rsidRDefault="00126779" w:rsidP="00126779">
            <w:pPr>
              <w:spacing w:before="60"/>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Annual housing target across plan period (2006/7 to 2025/26)</w:t>
            </w:r>
          </w:p>
          <w:p w:rsidR="00126779" w:rsidRPr="00351DD4" w:rsidRDefault="00126779" w:rsidP="00126779">
            <w:pPr>
              <w:spacing w:after="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w:t>
            </w:r>
            <w:r w:rsidRPr="00351DD4">
              <w:rPr>
                <w:rFonts w:asciiTheme="minorHAnsi" w:hAnsiTheme="minorHAnsi" w:cstheme="minorHAnsi"/>
                <w:color w:val="984806" w:themeColor="accent6" w:themeShade="80"/>
                <w:sz w:val="20"/>
                <w:szCs w:val="20"/>
              </w:rPr>
              <w:t>A</w:t>
            </w:r>
            <w:r w:rsidRPr="00351DD4">
              <w:rPr>
                <w:rFonts w:asciiTheme="minorHAnsi" w:hAnsiTheme="minorHAnsi" w:cstheme="minorHAnsi"/>
                <w:color w:val="262626" w:themeColor="text1" w:themeTint="D9"/>
                <w:sz w:val="20"/>
                <w:szCs w:val="20"/>
              </w:rPr>
              <w:t>/20 years)</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400</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C</w:t>
            </w:r>
          </w:p>
        </w:tc>
        <w:tc>
          <w:tcPr>
            <w:tcW w:w="6095" w:type="dxa"/>
          </w:tcPr>
          <w:p w:rsidR="00126779" w:rsidRPr="00351DD4" w:rsidRDefault="00126779" w:rsidP="00126779">
            <w:pPr>
              <w:spacing w:before="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Five year target, no adjustment (</w:t>
            </w:r>
            <w:r w:rsidRPr="00351DD4">
              <w:rPr>
                <w:rFonts w:asciiTheme="minorHAnsi" w:hAnsiTheme="minorHAnsi" w:cstheme="minorHAnsi"/>
                <w:color w:val="984806" w:themeColor="accent6" w:themeShade="80"/>
                <w:sz w:val="20"/>
                <w:szCs w:val="20"/>
              </w:rPr>
              <w:t>B</w:t>
            </w:r>
            <w:r w:rsidRPr="00351DD4">
              <w:rPr>
                <w:rFonts w:asciiTheme="minorHAnsi" w:hAnsiTheme="minorHAnsi" w:cstheme="minorHAnsi"/>
                <w:sz w:val="20"/>
                <w:szCs w:val="20"/>
              </w:rPr>
              <w:t xml:space="preserve"> </w:t>
            </w:r>
            <w:r w:rsidRPr="00351DD4">
              <w:rPr>
                <w:rFonts w:asciiTheme="minorHAnsi" w:hAnsiTheme="minorHAnsi" w:cstheme="minorHAnsi"/>
                <w:color w:val="262626" w:themeColor="text1" w:themeTint="D9"/>
                <w:sz w:val="20"/>
                <w:szCs w:val="20"/>
              </w:rPr>
              <w:t>x 5 years)</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2,000</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D</w:t>
            </w:r>
          </w:p>
        </w:tc>
        <w:tc>
          <w:tcPr>
            <w:tcW w:w="6095" w:type="dxa"/>
          </w:tcPr>
          <w:p w:rsidR="00126779" w:rsidRPr="00351DD4" w:rsidRDefault="00126779" w:rsidP="00126779">
            <w:pPr>
              <w:spacing w:before="60" w:after="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Completions during the plan period to date (2006/07 to 2</w:t>
            </w:r>
            <w:r>
              <w:rPr>
                <w:rFonts w:asciiTheme="minorHAnsi" w:hAnsiTheme="minorHAnsi" w:cstheme="minorHAnsi"/>
                <w:color w:val="262626" w:themeColor="text1" w:themeTint="D9"/>
                <w:sz w:val="20"/>
                <w:szCs w:val="20"/>
              </w:rPr>
              <w:t>017/18</w:t>
            </w:r>
            <w:r w:rsidRPr="00351DD4">
              <w:rPr>
                <w:rFonts w:asciiTheme="minorHAnsi" w:hAnsiTheme="minorHAnsi" w:cstheme="minorHAnsi"/>
                <w:color w:val="262626" w:themeColor="text1" w:themeTint="D9"/>
                <w:sz w:val="20"/>
                <w:szCs w:val="20"/>
              </w:rPr>
              <w:t>)</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highlight w:val="cyan"/>
              </w:rPr>
            </w:pPr>
            <w:r>
              <w:rPr>
                <w:rFonts w:asciiTheme="minorHAnsi" w:hAnsiTheme="minorHAnsi" w:cstheme="minorHAnsi"/>
                <w:color w:val="262626" w:themeColor="text1" w:themeTint="D9"/>
                <w:sz w:val="20"/>
                <w:szCs w:val="20"/>
              </w:rPr>
              <w:t>4,498</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E</w:t>
            </w:r>
          </w:p>
        </w:tc>
        <w:tc>
          <w:tcPr>
            <w:tcW w:w="6095" w:type="dxa"/>
          </w:tcPr>
          <w:p w:rsidR="00126779" w:rsidRPr="00351DD4" w:rsidRDefault="00126779" w:rsidP="00126779">
            <w:pPr>
              <w:spacing w:before="60"/>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Shortfall of housing provision during the plan period to date </w:t>
            </w:r>
          </w:p>
          <w:p w:rsidR="00126779" w:rsidRPr="00351DD4" w:rsidRDefault="00126779" w:rsidP="00126779">
            <w:pPr>
              <w:spacing w:after="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(2006/07 to 201</w:t>
            </w:r>
            <w:r>
              <w:rPr>
                <w:rFonts w:asciiTheme="minorHAnsi" w:hAnsiTheme="minorHAnsi" w:cstheme="minorHAnsi"/>
                <w:color w:val="262626" w:themeColor="text1" w:themeTint="D9"/>
                <w:sz w:val="20"/>
                <w:szCs w:val="20"/>
              </w:rPr>
              <w:t>7/18</w:t>
            </w:r>
            <w:r w:rsidRPr="00351DD4">
              <w:rPr>
                <w:rFonts w:asciiTheme="minorHAnsi" w:hAnsiTheme="minorHAnsi" w:cstheme="minorHAnsi"/>
                <w:color w:val="262626" w:themeColor="text1" w:themeTint="D9"/>
                <w:sz w:val="20"/>
                <w:szCs w:val="20"/>
              </w:rPr>
              <w:t>)</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highlight w:val="cyan"/>
              </w:rPr>
            </w:pPr>
            <w:r>
              <w:rPr>
                <w:rFonts w:asciiTheme="minorHAnsi" w:hAnsiTheme="minorHAnsi" w:cstheme="minorHAnsi"/>
                <w:color w:val="262626" w:themeColor="text1" w:themeTint="D9"/>
                <w:sz w:val="20"/>
                <w:szCs w:val="20"/>
              </w:rPr>
              <w:t>302</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F</w:t>
            </w:r>
          </w:p>
        </w:tc>
        <w:tc>
          <w:tcPr>
            <w:tcW w:w="6095" w:type="dxa"/>
          </w:tcPr>
          <w:p w:rsidR="00126779" w:rsidRPr="00351DD4" w:rsidRDefault="00126779" w:rsidP="00126779">
            <w:pPr>
              <w:spacing w:before="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Five year target incorporating shortfall (</w:t>
            </w:r>
            <w:r w:rsidRPr="00351DD4">
              <w:rPr>
                <w:rFonts w:asciiTheme="minorHAnsi" w:hAnsiTheme="minorHAnsi" w:cstheme="minorHAnsi"/>
                <w:color w:val="984806" w:themeColor="accent6" w:themeShade="80"/>
                <w:sz w:val="20"/>
                <w:szCs w:val="20"/>
              </w:rPr>
              <w:t>C</w:t>
            </w:r>
            <w:r w:rsidRPr="00351DD4">
              <w:rPr>
                <w:rFonts w:asciiTheme="minorHAnsi" w:hAnsiTheme="minorHAnsi" w:cstheme="minorHAnsi"/>
                <w:color w:val="262626" w:themeColor="text1" w:themeTint="D9"/>
                <w:sz w:val="20"/>
                <w:szCs w:val="20"/>
              </w:rPr>
              <w:t xml:space="preserve"> +</w:t>
            </w:r>
            <w:r w:rsidRPr="00351DD4">
              <w:rPr>
                <w:rFonts w:asciiTheme="minorHAnsi" w:hAnsiTheme="minorHAnsi" w:cstheme="minorHAnsi"/>
                <w:sz w:val="20"/>
                <w:szCs w:val="20"/>
              </w:rPr>
              <w:t xml:space="preserve"> </w:t>
            </w:r>
            <w:r w:rsidRPr="00351DD4">
              <w:rPr>
                <w:rFonts w:asciiTheme="minorHAnsi" w:hAnsiTheme="minorHAnsi" w:cstheme="minorHAnsi"/>
                <w:color w:val="984806" w:themeColor="accent6" w:themeShade="80"/>
                <w:sz w:val="20"/>
                <w:szCs w:val="20"/>
              </w:rPr>
              <w:t>E</w:t>
            </w:r>
            <w:r w:rsidRPr="00351DD4">
              <w:rPr>
                <w:rFonts w:asciiTheme="minorHAnsi" w:hAnsiTheme="minorHAnsi" w:cstheme="minorHAnsi"/>
                <w:color w:val="262626" w:themeColor="text1" w:themeTint="D9"/>
                <w:sz w:val="20"/>
                <w:szCs w:val="20"/>
              </w:rPr>
              <w:t>)</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highlight w:val="cyan"/>
              </w:rPr>
            </w:pPr>
            <w:r>
              <w:rPr>
                <w:rFonts w:asciiTheme="minorHAnsi" w:hAnsiTheme="minorHAnsi" w:cstheme="minorHAnsi"/>
                <w:color w:val="262626" w:themeColor="text1" w:themeTint="D9"/>
                <w:sz w:val="20"/>
                <w:szCs w:val="20"/>
              </w:rPr>
              <w:t>2,302</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G</w:t>
            </w:r>
          </w:p>
        </w:tc>
        <w:tc>
          <w:tcPr>
            <w:tcW w:w="6095" w:type="dxa"/>
          </w:tcPr>
          <w:p w:rsidR="00126779" w:rsidRPr="00351DD4" w:rsidRDefault="00126779" w:rsidP="00126779">
            <w:pPr>
              <w:spacing w:before="60" w:after="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Buffer (5% x</w:t>
            </w:r>
            <w:r w:rsidRPr="00351DD4">
              <w:rPr>
                <w:rFonts w:asciiTheme="minorHAnsi" w:hAnsiTheme="minorHAnsi" w:cstheme="minorHAnsi"/>
                <w:sz w:val="20"/>
                <w:szCs w:val="20"/>
              </w:rPr>
              <w:t xml:space="preserve"> </w:t>
            </w:r>
            <w:r w:rsidRPr="00351DD4">
              <w:rPr>
                <w:rFonts w:asciiTheme="minorHAnsi" w:hAnsiTheme="minorHAnsi" w:cstheme="minorHAnsi"/>
                <w:color w:val="984806" w:themeColor="accent6" w:themeShade="80"/>
                <w:sz w:val="20"/>
                <w:szCs w:val="20"/>
              </w:rPr>
              <w:t>C</w:t>
            </w:r>
            <w:r w:rsidRPr="00351DD4">
              <w:rPr>
                <w:rFonts w:asciiTheme="minorHAnsi" w:hAnsiTheme="minorHAnsi" w:cstheme="minorHAnsi"/>
                <w:color w:val="262626" w:themeColor="text1" w:themeTint="D9"/>
                <w:sz w:val="20"/>
                <w:szCs w:val="20"/>
              </w:rPr>
              <w:t>)</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100</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H</w:t>
            </w:r>
          </w:p>
        </w:tc>
        <w:tc>
          <w:tcPr>
            <w:tcW w:w="6095" w:type="dxa"/>
          </w:tcPr>
          <w:p w:rsidR="00126779" w:rsidRPr="00351DD4" w:rsidRDefault="00126779" w:rsidP="00126779">
            <w:pPr>
              <w:spacing w:before="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Five year target incorporating buffer (</w:t>
            </w:r>
            <w:r w:rsidRPr="00351DD4">
              <w:rPr>
                <w:rFonts w:asciiTheme="minorHAnsi" w:hAnsiTheme="minorHAnsi" w:cstheme="minorHAnsi"/>
                <w:color w:val="984806" w:themeColor="accent6" w:themeShade="80"/>
                <w:sz w:val="20"/>
                <w:szCs w:val="20"/>
              </w:rPr>
              <w:t>F</w:t>
            </w:r>
            <w:r w:rsidRPr="00351DD4">
              <w:rPr>
                <w:rFonts w:asciiTheme="minorHAnsi" w:hAnsiTheme="minorHAnsi" w:cstheme="minorHAnsi"/>
                <w:color w:val="262626" w:themeColor="text1" w:themeTint="D9"/>
                <w:sz w:val="20"/>
                <w:szCs w:val="20"/>
              </w:rPr>
              <w:t xml:space="preserve"> +</w:t>
            </w:r>
            <w:r w:rsidRPr="00351DD4">
              <w:rPr>
                <w:rFonts w:asciiTheme="minorHAnsi" w:hAnsiTheme="minorHAnsi" w:cstheme="minorHAnsi"/>
                <w:sz w:val="20"/>
                <w:szCs w:val="20"/>
              </w:rPr>
              <w:t xml:space="preserve"> </w:t>
            </w:r>
            <w:r w:rsidRPr="00351DD4">
              <w:rPr>
                <w:rFonts w:asciiTheme="minorHAnsi" w:hAnsiTheme="minorHAnsi" w:cstheme="minorHAnsi"/>
                <w:color w:val="984806" w:themeColor="accent6" w:themeShade="80"/>
                <w:sz w:val="20"/>
                <w:szCs w:val="20"/>
              </w:rPr>
              <w:t>G</w:t>
            </w:r>
            <w:r w:rsidRPr="00351DD4">
              <w:rPr>
                <w:rFonts w:asciiTheme="minorHAnsi" w:hAnsiTheme="minorHAnsi" w:cstheme="minorHAnsi"/>
                <w:color w:val="262626" w:themeColor="text1" w:themeTint="D9"/>
                <w:sz w:val="20"/>
                <w:szCs w:val="20"/>
              </w:rPr>
              <w:t>)</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2,402</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J</w:t>
            </w:r>
          </w:p>
        </w:tc>
        <w:tc>
          <w:tcPr>
            <w:tcW w:w="6095" w:type="dxa"/>
          </w:tcPr>
          <w:p w:rsidR="00126779" w:rsidRPr="00351DD4" w:rsidRDefault="00126779" w:rsidP="00126779">
            <w:pPr>
              <w:spacing w:before="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Annual targe</w:t>
            </w:r>
            <w:r>
              <w:rPr>
                <w:rFonts w:asciiTheme="minorHAnsi" w:hAnsiTheme="minorHAnsi" w:cstheme="minorHAnsi"/>
                <w:color w:val="262626" w:themeColor="text1" w:themeTint="D9"/>
                <w:sz w:val="20"/>
                <w:szCs w:val="20"/>
              </w:rPr>
              <w:t>t for next five years (2018/19 to 2022/23</w:t>
            </w:r>
            <w:r w:rsidRPr="00351DD4">
              <w:rPr>
                <w:rFonts w:asciiTheme="minorHAnsi" w:hAnsiTheme="minorHAnsi" w:cstheme="minorHAnsi"/>
                <w:color w:val="262626" w:themeColor="text1" w:themeTint="D9"/>
                <w:sz w:val="20"/>
                <w:szCs w:val="20"/>
              </w:rPr>
              <w:t>) (</w:t>
            </w:r>
            <w:r w:rsidRPr="00351DD4">
              <w:rPr>
                <w:rFonts w:asciiTheme="minorHAnsi" w:hAnsiTheme="minorHAnsi" w:cstheme="minorHAnsi"/>
                <w:color w:val="984806" w:themeColor="accent6" w:themeShade="80"/>
                <w:sz w:val="20"/>
                <w:szCs w:val="20"/>
              </w:rPr>
              <w:t>H</w:t>
            </w:r>
            <w:r w:rsidRPr="00351DD4">
              <w:rPr>
                <w:rFonts w:asciiTheme="minorHAnsi" w:hAnsiTheme="minorHAnsi" w:cstheme="minorHAnsi"/>
                <w:sz w:val="20"/>
                <w:szCs w:val="20"/>
              </w:rPr>
              <w:t xml:space="preserve"> </w:t>
            </w:r>
            <w:r w:rsidRPr="00351DD4">
              <w:rPr>
                <w:rFonts w:asciiTheme="minorHAnsi" w:hAnsiTheme="minorHAnsi" w:cstheme="minorHAnsi"/>
                <w:color w:val="262626" w:themeColor="text1" w:themeTint="D9"/>
                <w:sz w:val="20"/>
                <w:szCs w:val="20"/>
              </w:rPr>
              <w:t>/</w:t>
            </w:r>
            <w:r w:rsidRPr="00351DD4">
              <w:rPr>
                <w:rFonts w:asciiTheme="minorHAnsi" w:hAnsiTheme="minorHAnsi" w:cstheme="minorHAnsi"/>
                <w:sz w:val="20"/>
                <w:szCs w:val="20"/>
              </w:rPr>
              <w:t xml:space="preserve"> </w:t>
            </w:r>
            <w:r w:rsidRPr="00351DD4">
              <w:rPr>
                <w:rFonts w:asciiTheme="minorHAnsi" w:hAnsiTheme="minorHAnsi" w:cstheme="minorHAnsi"/>
                <w:color w:val="984806" w:themeColor="accent6" w:themeShade="80"/>
                <w:sz w:val="20"/>
                <w:szCs w:val="20"/>
              </w:rPr>
              <w:t>5</w:t>
            </w:r>
            <w:r w:rsidRPr="00351DD4">
              <w:rPr>
                <w:rFonts w:asciiTheme="minorHAnsi" w:hAnsiTheme="minorHAnsi" w:cstheme="minorHAnsi"/>
                <w:color w:val="262626" w:themeColor="text1" w:themeTint="D9"/>
                <w:sz w:val="20"/>
                <w:szCs w:val="20"/>
              </w:rPr>
              <w:t>)</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highlight w:val="cyan"/>
              </w:rPr>
            </w:pPr>
            <w:r>
              <w:rPr>
                <w:rFonts w:asciiTheme="minorHAnsi" w:hAnsiTheme="minorHAnsi" w:cstheme="minorHAnsi"/>
                <w:color w:val="262626" w:themeColor="text1" w:themeTint="D9"/>
                <w:sz w:val="20"/>
                <w:szCs w:val="20"/>
              </w:rPr>
              <w:t>480</w:t>
            </w:r>
          </w:p>
        </w:tc>
      </w:tr>
      <w:tr w:rsidR="00126779" w:rsidRPr="00351DD4" w:rsidTr="00126779">
        <w:tc>
          <w:tcPr>
            <w:tcW w:w="425" w:type="dxa"/>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K</w:t>
            </w:r>
          </w:p>
        </w:tc>
        <w:tc>
          <w:tcPr>
            <w:tcW w:w="6095" w:type="dxa"/>
          </w:tcPr>
          <w:p w:rsidR="00126779" w:rsidRPr="00351DD4" w:rsidRDefault="00126779" w:rsidP="00126779">
            <w:pPr>
              <w:spacing w:before="60" w:after="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Expected fi</w:t>
            </w:r>
            <w:r>
              <w:rPr>
                <w:rFonts w:asciiTheme="minorHAnsi" w:hAnsiTheme="minorHAnsi" w:cstheme="minorHAnsi"/>
                <w:color w:val="262626" w:themeColor="text1" w:themeTint="D9"/>
                <w:sz w:val="20"/>
                <w:szCs w:val="20"/>
              </w:rPr>
              <w:t>ve year deliverable supply (2018/19 to 2022/23</w:t>
            </w:r>
            <w:r w:rsidRPr="00351DD4">
              <w:rPr>
                <w:rFonts w:asciiTheme="minorHAnsi" w:hAnsiTheme="minorHAnsi" w:cstheme="minorHAnsi"/>
                <w:color w:val="262626" w:themeColor="text1" w:themeTint="D9"/>
                <w:sz w:val="20"/>
                <w:szCs w:val="20"/>
              </w:rPr>
              <w:t xml:space="preserve">) </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3,185</w:t>
            </w:r>
          </w:p>
        </w:tc>
      </w:tr>
      <w:tr w:rsidR="00126779" w:rsidRPr="00351DD4" w:rsidTr="00126779">
        <w:tc>
          <w:tcPr>
            <w:tcW w:w="425" w:type="dxa"/>
            <w:tcBorders>
              <w:bottom w:val="single" w:sz="4" w:space="0" w:color="984806" w:themeColor="accent6" w:themeShade="80"/>
            </w:tcBorders>
          </w:tcPr>
          <w:p w:rsidR="00126779" w:rsidRPr="00351DD4" w:rsidRDefault="00126779" w:rsidP="00126779">
            <w:pPr>
              <w:spacing w:before="60" w:after="60"/>
              <w:jc w:val="center"/>
              <w:rPr>
                <w:rFonts w:asciiTheme="minorHAnsi" w:hAnsiTheme="minorHAnsi" w:cstheme="minorHAnsi"/>
                <w:color w:val="984806" w:themeColor="accent6" w:themeShade="80"/>
                <w:sz w:val="20"/>
                <w:szCs w:val="20"/>
              </w:rPr>
            </w:pPr>
            <w:r w:rsidRPr="00351DD4">
              <w:rPr>
                <w:rFonts w:asciiTheme="minorHAnsi" w:hAnsiTheme="minorHAnsi" w:cstheme="minorHAnsi"/>
                <w:color w:val="984806" w:themeColor="accent6" w:themeShade="80"/>
                <w:sz w:val="20"/>
                <w:szCs w:val="20"/>
              </w:rPr>
              <w:t>L</w:t>
            </w:r>
          </w:p>
        </w:tc>
        <w:tc>
          <w:tcPr>
            <w:tcW w:w="6095" w:type="dxa"/>
          </w:tcPr>
          <w:p w:rsidR="00126779" w:rsidRPr="00351DD4" w:rsidRDefault="00126779" w:rsidP="00126779">
            <w:pPr>
              <w:spacing w:before="60" w:after="60"/>
              <w:rPr>
                <w:rFonts w:asciiTheme="minorHAnsi" w:hAnsiTheme="minorHAnsi" w:cstheme="minorHAnsi"/>
                <w:sz w:val="20"/>
                <w:szCs w:val="20"/>
              </w:rPr>
            </w:pPr>
            <w:r w:rsidRPr="00351DD4">
              <w:rPr>
                <w:rFonts w:asciiTheme="minorHAnsi" w:hAnsiTheme="minorHAnsi" w:cstheme="minorHAnsi"/>
                <w:color w:val="262626" w:themeColor="text1" w:themeTint="D9"/>
                <w:sz w:val="20"/>
                <w:szCs w:val="20"/>
              </w:rPr>
              <w:t>Gap between target and supply (</w:t>
            </w:r>
            <w:r w:rsidR="00CC3D19">
              <w:rPr>
                <w:rFonts w:asciiTheme="minorHAnsi" w:hAnsiTheme="minorHAnsi" w:cstheme="minorHAnsi"/>
                <w:color w:val="984806" w:themeColor="accent6" w:themeShade="80"/>
                <w:sz w:val="20"/>
                <w:szCs w:val="20"/>
              </w:rPr>
              <w:t>K</w:t>
            </w:r>
            <w:r w:rsidRPr="00351DD4">
              <w:rPr>
                <w:rFonts w:asciiTheme="minorHAnsi" w:hAnsiTheme="minorHAnsi" w:cstheme="minorHAnsi"/>
                <w:sz w:val="20"/>
                <w:szCs w:val="20"/>
              </w:rPr>
              <w:t xml:space="preserve"> </w:t>
            </w:r>
            <w:r w:rsidRPr="00351DD4">
              <w:rPr>
                <w:rFonts w:asciiTheme="minorHAnsi" w:hAnsiTheme="minorHAnsi" w:cstheme="minorHAnsi"/>
                <w:color w:val="262626" w:themeColor="text1" w:themeTint="D9"/>
                <w:sz w:val="20"/>
                <w:szCs w:val="20"/>
              </w:rPr>
              <w:t xml:space="preserve">– </w:t>
            </w:r>
            <w:r w:rsidR="00CC3D19">
              <w:rPr>
                <w:rFonts w:asciiTheme="minorHAnsi" w:hAnsiTheme="minorHAnsi" w:cstheme="minorHAnsi"/>
                <w:color w:val="984806" w:themeColor="accent6" w:themeShade="80"/>
                <w:sz w:val="20"/>
                <w:szCs w:val="20"/>
              </w:rPr>
              <w:t>H</w:t>
            </w:r>
            <w:r w:rsidRPr="00351DD4">
              <w:rPr>
                <w:rFonts w:asciiTheme="minorHAnsi" w:hAnsiTheme="minorHAnsi" w:cstheme="minorHAnsi"/>
                <w:color w:val="262626" w:themeColor="text1" w:themeTint="D9"/>
                <w:sz w:val="20"/>
                <w:szCs w:val="20"/>
              </w:rPr>
              <w:t xml:space="preserve">) </w:t>
            </w:r>
          </w:p>
        </w:tc>
        <w:tc>
          <w:tcPr>
            <w:tcW w:w="1843" w:type="dxa"/>
          </w:tcPr>
          <w:p w:rsidR="00126779" w:rsidRPr="00351DD4" w:rsidRDefault="00126779" w:rsidP="00126779">
            <w:pPr>
              <w:spacing w:before="60" w:after="60"/>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783</w:t>
            </w:r>
            <w:r w:rsidRPr="00351DD4">
              <w:rPr>
                <w:rFonts w:asciiTheme="minorHAnsi" w:hAnsiTheme="minorHAnsi" w:cstheme="minorHAnsi"/>
                <w:color w:val="262626" w:themeColor="text1" w:themeTint="D9"/>
                <w:sz w:val="20"/>
                <w:szCs w:val="20"/>
              </w:rPr>
              <w:t xml:space="preserve"> surplus</w:t>
            </w:r>
          </w:p>
        </w:tc>
      </w:tr>
      <w:tr w:rsidR="00126779" w:rsidRPr="00351DD4" w:rsidTr="00126779">
        <w:trPr>
          <w:trHeight w:val="108"/>
        </w:trPr>
        <w:tc>
          <w:tcPr>
            <w:tcW w:w="425" w:type="dxa"/>
            <w:tcBorders>
              <w:top w:val="single" w:sz="4" w:space="0" w:color="984806" w:themeColor="accent6" w:themeShade="80"/>
              <w:left w:val="nil"/>
              <w:bottom w:val="nil"/>
            </w:tcBorders>
            <w:shd w:val="clear" w:color="auto" w:fill="FFFFFF" w:themeFill="background1"/>
          </w:tcPr>
          <w:p w:rsidR="00126779" w:rsidRPr="00351DD4" w:rsidRDefault="00126779" w:rsidP="00126779">
            <w:pPr>
              <w:spacing w:before="60" w:after="60"/>
              <w:rPr>
                <w:rFonts w:asciiTheme="minorHAnsi" w:hAnsiTheme="minorHAnsi" w:cstheme="minorHAnsi"/>
                <w:sz w:val="20"/>
                <w:szCs w:val="20"/>
              </w:rPr>
            </w:pPr>
          </w:p>
        </w:tc>
        <w:tc>
          <w:tcPr>
            <w:tcW w:w="6095" w:type="dxa"/>
            <w:shd w:val="clear" w:color="auto" w:fill="FDE9D9" w:themeFill="accent6" w:themeFillTint="33"/>
          </w:tcPr>
          <w:p w:rsidR="00126779" w:rsidRPr="00351DD4" w:rsidRDefault="00126779" w:rsidP="00126779">
            <w:pPr>
              <w:spacing w:before="60" w:after="60"/>
              <w:rPr>
                <w:rFonts w:asciiTheme="minorHAnsi" w:hAnsiTheme="minorHAnsi" w:cstheme="minorHAnsi"/>
                <w:b/>
                <w:sz w:val="20"/>
                <w:szCs w:val="20"/>
              </w:rPr>
            </w:pPr>
            <w:r w:rsidRPr="00351DD4">
              <w:rPr>
                <w:rFonts w:asciiTheme="minorHAnsi" w:hAnsiTheme="minorHAnsi" w:cstheme="minorHAnsi"/>
                <w:b/>
                <w:color w:val="262626" w:themeColor="text1" w:themeTint="D9"/>
                <w:sz w:val="20"/>
                <w:szCs w:val="20"/>
              </w:rPr>
              <w:t xml:space="preserve">Years supply equivalent </w:t>
            </w:r>
            <w:r w:rsidRPr="00351DD4">
              <w:rPr>
                <w:rFonts w:asciiTheme="minorHAnsi" w:hAnsiTheme="minorHAnsi" w:cstheme="minorHAnsi"/>
                <w:color w:val="262626" w:themeColor="text1" w:themeTint="D9"/>
                <w:sz w:val="20"/>
                <w:szCs w:val="20"/>
              </w:rPr>
              <w:t>(</w:t>
            </w:r>
            <w:r w:rsidRPr="00351DD4">
              <w:rPr>
                <w:rFonts w:asciiTheme="minorHAnsi" w:hAnsiTheme="minorHAnsi" w:cstheme="minorHAnsi"/>
                <w:color w:val="984806" w:themeColor="accent6" w:themeShade="80"/>
                <w:sz w:val="20"/>
                <w:szCs w:val="20"/>
              </w:rPr>
              <w:t>K</w:t>
            </w:r>
            <w:r w:rsidRPr="00351DD4">
              <w:rPr>
                <w:rFonts w:asciiTheme="minorHAnsi" w:hAnsiTheme="minorHAnsi" w:cstheme="minorHAnsi"/>
                <w:color w:val="262626" w:themeColor="text1" w:themeTint="D9"/>
                <w:sz w:val="20"/>
                <w:szCs w:val="20"/>
              </w:rPr>
              <w:t xml:space="preserve"> /</w:t>
            </w:r>
            <w:r w:rsidRPr="00351DD4">
              <w:rPr>
                <w:rFonts w:asciiTheme="minorHAnsi" w:hAnsiTheme="minorHAnsi" w:cstheme="minorHAnsi"/>
                <w:sz w:val="20"/>
                <w:szCs w:val="20"/>
              </w:rPr>
              <w:t xml:space="preserve"> </w:t>
            </w:r>
            <w:r w:rsidRPr="00351DD4">
              <w:rPr>
                <w:rFonts w:asciiTheme="minorHAnsi" w:hAnsiTheme="minorHAnsi" w:cstheme="minorHAnsi"/>
                <w:color w:val="984806" w:themeColor="accent6" w:themeShade="80"/>
                <w:sz w:val="20"/>
                <w:szCs w:val="20"/>
              </w:rPr>
              <w:t>J</w:t>
            </w:r>
            <w:r w:rsidRPr="00351DD4">
              <w:rPr>
                <w:rFonts w:asciiTheme="minorHAnsi" w:hAnsiTheme="minorHAnsi" w:cstheme="minorHAnsi"/>
                <w:color w:val="262626" w:themeColor="text1" w:themeTint="D9"/>
                <w:sz w:val="20"/>
                <w:szCs w:val="20"/>
              </w:rPr>
              <w:t xml:space="preserve">) </w:t>
            </w:r>
          </w:p>
        </w:tc>
        <w:tc>
          <w:tcPr>
            <w:tcW w:w="1843" w:type="dxa"/>
            <w:shd w:val="clear" w:color="auto" w:fill="FDE9D9" w:themeFill="accent6" w:themeFillTint="33"/>
          </w:tcPr>
          <w:p w:rsidR="00126779" w:rsidRPr="00351DD4" w:rsidRDefault="00126779" w:rsidP="00126779">
            <w:pPr>
              <w:spacing w:before="60" w:after="60"/>
              <w:jc w:val="center"/>
              <w:rPr>
                <w:rFonts w:asciiTheme="minorHAnsi" w:hAnsiTheme="minorHAnsi" w:cstheme="minorHAnsi"/>
                <w:b/>
                <w:color w:val="262626" w:themeColor="text1" w:themeTint="D9"/>
                <w:sz w:val="20"/>
                <w:szCs w:val="20"/>
              </w:rPr>
            </w:pPr>
            <w:r>
              <w:rPr>
                <w:rFonts w:asciiTheme="minorHAnsi" w:hAnsiTheme="minorHAnsi" w:cstheme="minorHAnsi"/>
                <w:b/>
                <w:color w:val="262626" w:themeColor="text1" w:themeTint="D9"/>
                <w:sz w:val="20"/>
                <w:szCs w:val="20"/>
              </w:rPr>
              <w:t>6.63</w:t>
            </w:r>
            <w:r w:rsidRPr="00351DD4">
              <w:rPr>
                <w:rFonts w:asciiTheme="minorHAnsi" w:hAnsiTheme="minorHAnsi" w:cstheme="minorHAnsi"/>
                <w:b/>
                <w:color w:val="262626" w:themeColor="text1" w:themeTint="D9"/>
                <w:sz w:val="20"/>
                <w:szCs w:val="20"/>
              </w:rPr>
              <w:t xml:space="preserve"> years</w:t>
            </w:r>
          </w:p>
        </w:tc>
      </w:tr>
    </w:tbl>
    <w:p w:rsidR="00126779" w:rsidRPr="00351DD4" w:rsidRDefault="00126779" w:rsidP="00126779">
      <w:pPr>
        <w:autoSpaceDE w:val="0"/>
        <w:autoSpaceDN w:val="0"/>
        <w:adjustRightInd w:val="0"/>
        <w:spacing w:after="200" w:line="276" w:lineRule="auto"/>
        <w:ind w:left="357"/>
        <w:jc w:val="center"/>
        <w:rPr>
          <w:rFonts w:eastAsia="Calibri" w:cs="Calibri"/>
          <w:color w:val="000000"/>
          <w:sz w:val="20"/>
          <w:szCs w:val="22"/>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75648" behindDoc="1" locked="0" layoutInCell="1" allowOverlap="1" wp14:anchorId="2114E736" wp14:editId="39F6C7ED">
                <wp:simplePos x="0" y="0"/>
                <wp:positionH relativeFrom="column">
                  <wp:posOffset>-63795</wp:posOffset>
                </wp:positionH>
                <wp:positionV relativeFrom="paragraph">
                  <wp:posOffset>278055</wp:posOffset>
                </wp:positionV>
                <wp:extent cx="5885180" cy="1658679"/>
                <wp:effectExtent l="0" t="0" r="1270" b="0"/>
                <wp:wrapNone/>
                <wp:docPr id="82" name="Rectangle 82"/>
                <wp:cNvGraphicFramePr/>
                <a:graphic xmlns:a="http://schemas.openxmlformats.org/drawingml/2006/main">
                  <a:graphicData uri="http://schemas.microsoft.com/office/word/2010/wordprocessingShape">
                    <wps:wsp>
                      <wps:cNvSpPr/>
                      <wps:spPr>
                        <a:xfrm>
                          <a:off x="0" y="0"/>
                          <a:ext cx="5885180" cy="1658679"/>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F7B35E" id="Rectangle 82" o:spid="_x0000_s1026" style="position:absolute;margin-left:-5pt;margin-top:21.9pt;width:463.4pt;height:130.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" fillcolor="#fcd5b5" stroked="f" strokeweight="2pt"/>
            </w:pict>
          </mc:Fallback>
        </mc:AlternateContent>
      </w:r>
      <w:r w:rsidRPr="00351DD4">
        <w:rPr>
          <w:rFonts w:eastAsia="Calibri" w:cs="Calibri"/>
          <w:b/>
          <w:color w:val="000000"/>
          <w:sz w:val="20"/>
          <w:szCs w:val="22"/>
        </w:rPr>
        <w:t xml:space="preserve">Table 10: </w:t>
      </w:r>
      <w:r w:rsidRPr="00351DD4">
        <w:rPr>
          <w:rFonts w:eastAsia="Calibri" w:cs="Calibri"/>
          <w:color w:val="000000"/>
          <w:sz w:val="20"/>
          <w:szCs w:val="22"/>
        </w:rPr>
        <w:t>Oxford’s housing lan</w:t>
      </w:r>
      <w:r>
        <w:rPr>
          <w:rFonts w:eastAsia="Calibri" w:cs="Calibri"/>
          <w:color w:val="000000"/>
          <w:sz w:val="20"/>
          <w:szCs w:val="22"/>
        </w:rPr>
        <w:t>d supply at 31 March 2018</w:t>
      </w:r>
    </w:p>
    <w:p w:rsidR="00126779" w:rsidRPr="00351DD4" w:rsidRDefault="00126779" w:rsidP="00126779">
      <w:pPr>
        <w:outlineLvl w:val="1"/>
        <w:rPr>
          <w:rFonts w:asciiTheme="minorHAnsi" w:hAnsiTheme="minorHAnsi"/>
          <w:b/>
          <w:lang w:eastAsia="en-GB"/>
        </w:rPr>
      </w:pPr>
      <w:bookmarkStart w:id="14" w:name="_Toc529178344"/>
      <w:r w:rsidRPr="00351DD4">
        <w:rPr>
          <w:rFonts w:asciiTheme="minorHAnsi" w:hAnsiTheme="minorHAnsi"/>
          <w:b/>
          <w:lang w:eastAsia="en-GB"/>
        </w:rPr>
        <w:t>Indicator 8: AFFORDABLE HOUSING COMPLETIONS (TENURE)</w:t>
      </w:r>
      <w:bookmarkEnd w:id="14"/>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Tenure split of affordable housing should be at least 80% social rented and up to 20% intermediate (including shared ownership, intermediate rental and affordable rental) </w:t>
      </w:r>
      <w:r w:rsidRPr="00351DD4">
        <w:rPr>
          <w:rFonts w:eastAsia="Calibri" w:cs="Calibri"/>
          <w:color w:val="984806" w:themeColor="accent6" w:themeShade="80"/>
          <w:sz w:val="20"/>
          <w:szCs w:val="22"/>
        </w:rPr>
        <w:t>(Oxford Core Strategy Policy CS24, Sites and Housing Plan Policy HP3 &amp; Affordable Housing and Planning Obligations SPD)</w:t>
      </w:r>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rsidTr="00126779">
        <w:trPr>
          <w:trHeight w:val="218"/>
        </w:trPr>
        <w:tc>
          <w:tcPr>
            <w:tcW w:w="5420" w:type="dxa"/>
          </w:tcPr>
          <w:p w:rsidR="00126779" w:rsidRPr="00351DD4" w:rsidRDefault="005E0F67" w:rsidP="00126779">
            <w:pPr>
              <w:autoSpaceDE w:val="0"/>
              <w:autoSpaceDN w:val="0"/>
              <w:adjustRightInd w:val="0"/>
              <w:ind w:left="-108"/>
              <w:rPr>
                <w:b/>
                <w:noProof/>
                <w:color w:val="984806" w:themeColor="accent6" w:themeShade="80"/>
                <w:szCs w:val="16"/>
                <w:lang w:eastAsia="en-GB"/>
              </w:rPr>
            </w:pPr>
            <w:r>
              <w:rPr>
                <w:rFonts w:eastAsia="Calibri" w:cs="Calibri"/>
                <w:b/>
                <w:color w:val="984806" w:themeColor="accent6" w:themeShade="80"/>
              </w:rPr>
              <w:t>Performance against target 2017/18</w:t>
            </w:r>
            <w:r w:rsidR="00126779" w:rsidRPr="00351DD4">
              <w:rPr>
                <w:rFonts w:eastAsia="Calibri" w:cs="Calibri"/>
                <w:b/>
                <w:color w:val="984806" w:themeColor="accent6" w:themeShade="80"/>
              </w:rPr>
              <w:t>:</w:t>
            </w:r>
          </w:p>
        </w:tc>
        <w:tc>
          <w:tcPr>
            <w:tcW w:w="3714"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c>
          <w:tcPr>
            <w:tcW w:w="5420" w:type="dxa"/>
            <w:vMerge w:val="restart"/>
          </w:tcPr>
          <w:p w:rsidR="00126779" w:rsidRPr="00351DD4" w:rsidRDefault="00126779" w:rsidP="00126779">
            <w:pPr>
              <w:autoSpaceDE w:val="0"/>
              <w:autoSpaceDN w:val="0"/>
              <w:adjustRightInd w:val="0"/>
              <w:rPr>
                <w:rFonts w:eastAsia="Calibri" w:cs="Calibri"/>
                <w:b/>
                <w:color w:val="984806" w:themeColor="accent6" w:themeShade="80"/>
                <w:sz w:val="8"/>
                <w:szCs w:val="8"/>
              </w:rPr>
            </w:pPr>
          </w:p>
          <w:p w:rsidR="00126779" w:rsidRPr="00351DD4" w:rsidRDefault="00126779" w:rsidP="00126779">
            <w:pPr>
              <w:autoSpaceDE w:val="0"/>
              <w:autoSpaceDN w:val="0"/>
              <w:adjustRightInd w:val="0"/>
              <w:jc w:val="center"/>
              <w:rPr>
                <w:rFonts w:eastAsia="Calibri" w:cs="Calibri"/>
                <w:b/>
                <w:color w:val="984806" w:themeColor="accent6" w:themeShade="80"/>
                <w:szCs w:val="12"/>
              </w:rPr>
            </w:pPr>
            <w:r w:rsidRPr="00351DD4">
              <w:rPr>
                <w:b/>
                <w:noProof/>
                <w:sz w:val="28"/>
                <w:szCs w:val="32"/>
                <w:lang w:eastAsia="en-GB"/>
              </w:rPr>
              <w:drawing>
                <wp:inline distT="0" distB="0" distL="0" distR="0" wp14:anchorId="4B60A99C" wp14:editId="5657AFB2">
                  <wp:extent cx="1390650" cy="433702"/>
                  <wp:effectExtent l="0" t="0" r="0" b="5080"/>
                  <wp:docPr id="20" name="Picture 2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126779" w:rsidRPr="00351DD4" w:rsidRDefault="005E0F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r w:rsidR="00126779" w:rsidRPr="00351DD4">
              <w:rPr>
                <w:rFonts w:eastAsia="Calibri" w:cs="Calibri"/>
                <w:b/>
                <w:color w:val="984806" w:themeColor="accent6" w:themeShade="80"/>
              </w:rPr>
              <w:t>:</w:t>
            </w:r>
          </w:p>
        </w:tc>
        <w:tc>
          <w:tcPr>
            <w:tcW w:w="2613" w:type="dxa"/>
          </w:tcPr>
          <w:p w:rsidR="00126779" w:rsidRPr="00351DD4" w:rsidRDefault="005E0F67" w:rsidP="00126779">
            <w:pPr>
              <w:autoSpaceDE w:val="0"/>
              <w:autoSpaceDN w:val="0"/>
              <w:adjustRightInd w:val="0"/>
              <w:rPr>
                <w:rFonts w:eastAsia="Calibri" w:cs="Calibri"/>
                <w:b/>
                <w:color w:val="984806" w:themeColor="accent6" w:themeShade="80"/>
              </w:rPr>
            </w:pPr>
            <w:r w:rsidRPr="007E2BF2">
              <w:rPr>
                <w:rFonts w:ascii="Arial" w:hAnsi="Arial"/>
                <w:b/>
                <w:noProof/>
                <w:sz w:val="32"/>
                <w:szCs w:val="32"/>
                <w:lang w:eastAsia="en-GB"/>
              </w:rPr>
              <w:drawing>
                <wp:inline distT="0" distB="0" distL="0" distR="0" wp14:anchorId="003C5CCD" wp14:editId="26C0DE3F">
                  <wp:extent cx="819509" cy="255580"/>
                  <wp:effectExtent l="0" t="0" r="0" b="0"/>
                  <wp:docPr id="242" name="Picture 24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rsidTr="00126779">
        <w:tc>
          <w:tcPr>
            <w:tcW w:w="5420"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rsidR="00126779" w:rsidRPr="00351DD4" w:rsidRDefault="005E0F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2015/16</w:t>
            </w:r>
            <w:r w:rsidR="00126779" w:rsidRPr="00351DD4">
              <w:rPr>
                <w:rFonts w:eastAsia="Calibri" w:cs="Calibri"/>
                <w:b/>
                <w:color w:val="984806" w:themeColor="accent6" w:themeShade="80"/>
              </w:rPr>
              <w:t>:</w:t>
            </w:r>
          </w:p>
        </w:tc>
        <w:tc>
          <w:tcPr>
            <w:tcW w:w="2613" w:type="dxa"/>
          </w:tcPr>
          <w:p w:rsidR="00126779" w:rsidRPr="00351DD4" w:rsidRDefault="005E0F67"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7FD57BD6" wp14:editId="3BFCAF0A">
                  <wp:extent cx="819150" cy="256182"/>
                  <wp:effectExtent l="0" t="0" r="0" b="0"/>
                  <wp:docPr id="21" name="Picture 2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351DD4" w:rsidRDefault="00126779" w:rsidP="00126779">
      <w:pPr>
        <w:autoSpaceDE w:val="0"/>
        <w:autoSpaceDN w:val="0"/>
        <w:adjustRightInd w:val="0"/>
        <w:spacing w:line="276" w:lineRule="auto"/>
        <w:ind w:right="-45"/>
        <w:jc w:val="both"/>
        <w:rPr>
          <w:rFonts w:eastAsia="Calibri" w:cs="Calibri"/>
          <w:szCs w:val="22"/>
        </w:rPr>
      </w:pPr>
    </w:p>
    <w:p w:rsidR="00126779" w:rsidRPr="00B071D7"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szCs w:val="22"/>
        </w:rPr>
        <w:t>Providing more affordable housing in Oxford is essential to ensure mixed and balanced communities, for the health and well-being of residents, and for the vibrancy of the local economy.</w:t>
      </w: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lastRenderedPageBreak/>
        <w:t>Affordable Housing Completions</w:t>
      </w:r>
    </w:p>
    <w:p w:rsidR="00126779" w:rsidRDefault="00126779" w:rsidP="00126779">
      <w:pPr>
        <w:autoSpaceDE w:val="0"/>
        <w:autoSpaceDN w:val="0"/>
        <w:adjustRightInd w:val="0"/>
        <w:spacing w:line="276" w:lineRule="auto"/>
        <w:ind w:right="-45"/>
        <w:jc w:val="both"/>
        <w:rPr>
          <w:rFonts w:eastAsia="Calibri" w:cs="Calibri"/>
          <w:szCs w:val="22"/>
        </w:rPr>
      </w:pPr>
      <w:r>
        <w:rPr>
          <w:noProof/>
          <w:lang w:eastAsia="en-GB"/>
        </w:rPr>
        <w:drawing>
          <wp:anchor distT="0" distB="0" distL="114300" distR="114300" simplePos="0" relativeHeight="251684864" behindDoc="0" locked="0" layoutInCell="1" allowOverlap="1" wp14:anchorId="583A92D5" wp14:editId="5A1FE77E">
            <wp:simplePos x="0" y="0"/>
            <wp:positionH relativeFrom="column">
              <wp:posOffset>0</wp:posOffset>
            </wp:positionH>
            <wp:positionV relativeFrom="paragraph">
              <wp:posOffset>1270</wp:posOffset>
            </wp:positionV>
            <wp:extent cx="5731510" cy="3441968"/>
            <wp:effectExtent l="0" t="0" r="21590" b="25400"/>
            <wp:wrapNone/>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Default="00126779" w:rsidP="00126779">
      <w:pPr>
        <w:autoSpaceDE w:val="0"/>
        <w:autoSpaceDN w:val="0"/>
        <w:adjustRightInd w:val="0"/>
        <w:spacing w:line="276" w:lineRule="auto"/>
        <w:ind w:right="-45"/>
        <w:jc w:val="both"/>
        <w:rPr>
          <w:rFonts w:eastAsia="Calibri" w:cs="Calibri"/>
          <w:szCs w:val="22"/>
        </w:rPr>
      </w:pPr>
    </w:p>
    <w:p w:rsidR="00126779" w:rsidRPr="00351DD4" w:rsidRDefault="00126779" w:rsidP="00126779">
      <w:pPr>
        <w:autoSpaceDE w:val="0"/>
        <w:autoSpaceDN w:val="0"/>
        <w:adjustRightInd w:val="0"/>
        <w:spacing w:line="276" w:lineRule="auto"/>
        <w:ind w:right="-45"/>
        <w:jc w:val="both"/>
        <w:rPr>
          <w:rFonts w:eastAsia="Calibri" w:cs="Calibri"/>
          <w:szCs w:val="22"/>
        </w:rPr>
      </w:pPr>
    </w:p>
    <w:p w:rsidR="00126779" w:rsidRPr="00351DD4" w:rsidRDefault="00126779" w:rsidP="00126779">
      <w:pPr>
        <w:tabs>
          <w:tab w:val="left" w:pos="9026"/>
        </w:tabs>
        <w:autoSpaceDE w:val="0"/>
        <w:autoSpaceDN w:val="0"/>
        <w:adjustRightInd w:val="0"/>
        <w:spacing w:after="200" w:line="276" w:lineRule="auto"/>
        <w:ind w:right="-46"/>
        <w:contextualSpacing/>
        <w:jc w:val="center"/>
        <w:rPr>
          <w:rFonts w:eastAsia="Calibri" w:cs="Calibri"/>
          <w:color w:val="000000"/>
          <w:sz w:val="20"/>
          <w:szCs w:val="22"/>
        </w:rPr>
      </w:pPr>
      <w:r w:rsidRPr="00351DD4">
        <w:rPr>
          <w:rFonts w:eastAsia="Calibri" w:cs="Calibri"/>
          <w:b/>
          <w:color w:val="000000"/>
          <w:sz w:val="20"/>
          <w:szCs w:val="22"/>
        </w:rPr>
        <w:t xml:space="preserve">Figure 3: </w:t>
      </w:r>
      <w:r w:rsidRPr="00351DD4">
        <w:rPr>
          <w:rFonts w:eastAsia="Calibri" w:cs="Calibri"/>
          <w:color w:val="000000"/>
          <w:sz w:val="20"/>
          <w:szCs w:val="22"/>
        </w:rPr>
        <w:t>Net affordable dwe</w:t>
      </w:r>
      <w:r>
        <w:rPr>
          <w:rFonts w:eastAsia="Calibri" w:cs="Calibri"/>
          <w:color w:val="000000"/>
          <w:sz w:val="20"/>
          <w:szCs w:val="22"/>
        </w:rPr>
        <w:t>llings completed 2006/07-2017/18</w:t>
      </w:r>
    </w:p>
    <w:p w:rsidR="00126779" w:rsidRPr="00351DD4" w:rsidRDefault="00126779" w:rsidP="00126779">
      <w:pPr>
        <w:tabs>
          <w:tab w:val="left" w:pos="9026"/>
        </w:tabs>
        <w:autoSpaceDE w:val="0"/>
        <w:autoSpaceDN w:val="0"/>
        <w:adjustRightInd w:val="0"/>
        <w:spacing w:after="200" w:line="276" w:lineRule="auto"/>
        <w:ind w:right="-46"/>
        <w:contextualSpacing/>
        <w:jc w:val="center"/>
        <w:rPr>
          <w:rFonts w:eastAsia="Calibri" w:cs="Calibri"/>
          <w:szCs w:val="22"/>
        </w:rPr>
      </w:pPr>
    </w:p>
    <w:p w:rsidR="00126779" w:rsidRPr="00B17D9A"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B17D9A">
        <w:rPr>
          <w:rFonts w:eastAsia="Calibri" w:cs="Calibri"/>
          <w:szCs w:val="22"/>
        </w:rPr>
        <w:t xml:space="preserve">Figure 3 shows that 18 affordable dwellings were completed in 2017/18. This is because very few large sites where the on-site provision of affordable housing would be required were completed during the monitoring year. </w:t>
      </w:r>
      <w:r w:rsidR="00857632" w:rsidRPr="00B17D9A">
        <w:rPr>
          <w:rFonts w:eastAsia="Calibri" w:cs="Calibri"/>
          <w:szCs w:val="22"/>
        </w:rPr>
        <w:t xml:space="preserve">The main contributors were 10 social rent dwellings at </w:t>
      </w:r>
      <w:proofErr w:type="spellStart"/>
      <w:r w:rsidR="00857632" w:rsidRPr="00B17D9A">
        <w:rPr>
          <w:rFonts w:eastAsia="Calibri" w:cs="Calibri"/>
          <w:szCs w:val="22"/>
        </w:rPr>
        <w:t>Marywood</w:t>
      </w:r>
      <w:proofErr w:type="spellEnd"/>
      <w:r w:rsidR="00857632" w:rsidRPr="00B17D9A">
        <w:rPr>
          <w:rFonts w:eastAsia="Calibri" w:cs="Calibri"/>
          <w:szCs w:val="22"/>
        </w:rPr>
        <w:t xml:space="preserve"> House, Leiden Road (14/01770/FUL) and 15 social rent dwellings at Northway Centre, </w:t>
      </w:r>
      <w:proofErr w:type="spellStart"/>
      <w:r w:rsidR="00857632" w:rsidRPr="00B17D9A">
        <w:rPr>
          <w:rFonts w:eastAsia="Calibri" w:cs="Calibri"/>
          <w:szCs w:val="22"/>
        </w:rPr>
        <w:t>Maltfield</w:t>
      </w:r>
      <w:proofErr w:type="spellEnd"/>
      <w:r w:rsidR="00857632" w:rsidRPr="00B17D9A">
        <w:rPr>
          <w:rFonts w:eastAsia="Calibri" w:cs="Calibri"/>
          <w:szCs w:val="22"/>
        </w:rPr>
        <w:t xml:space="preserve"> Road (12/03280/FUL)</w:t>
      </w:r>
      <w:proofErr w:type="gramStart"/>
      <w:r w:rsidR="00857632" w:rsidRPr="00B17D9A">
        <w:rPr>
          <w:rFonts w:eastAsia="Calibri" w:cs="Calibri"/>
          <w:szCs w:val="22"/>
        </w:rPr>
        <w:t>,</w:t>
      </w:r>
      <w:proofErr w:type="gramEnd"/>
      <w:r w:rsidR="00857632" w:rsidRPr="00B17D9A">
        <w:rPr>
          <w:rFonts w:eastAsia="Calibri" w:cs="Calibri"/>
          <w:szCs w:val="22"/>
        </w:rPr>
        <w:t xml:space="preserve"> however 14 social rent dwellings were lost to enable development of the Westgate Centre which will bring jobs and increased retail offer to Oxford. As with the overall housing numbers for completions and permissions, it is natural for affordable housing delivery to fluctuate due to the limited number of larger sites available within Oxford. However, as mentioned above, affordable housing delivery is expected to increase in future monitoring years.</w:t>
      </w:r>
    </w:p>
    <w:p w:rsidR="00126779" w:rsidRPr="00B17D9A"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B17D9A">
        <w:rPr>
          <w:rFonts w:eastAsia="Calibri" w:cs="Calibri"/>
          <w:szCs w:val="22"/>
        </w:rPr>
        <w:t>The total</w:t>
      </w:r>
      <w:r w:rsidR="00B17D9A" w:rsidRPr="00B17D9A">
        <w:rPr>
          <w:rFonts w:eastAsia="Calibri" w:cs="Calibri"/>
          <w:szCs w:val="22"/>
        </w:rPr>
        <w:t xml:space="preserve"> net</w:t>
      </w:r>
      <w:r w:rsidRPr="00B17D9A">
        <w:rPr>
          <w:rFonts w:eastAsia="Calibri" w:cs="Calibri"/>
          <w:szCs w:val="22"/>
        </w:rPr>
        <w:t xml:space="preserve"> number of affordable homes completed since the start of the Core Strategy period (2006/0</w:t>
      </w:r>
      <w:r w:rsidR="00BB5319" w:rsidRPr="00B17D9A">
        <w:rPr>
          <w:rFonts w:eastAsia="Calibri" w:cs="Calibri"/>
          <w:szCs w:val="22"/>
        </w:rPr>
        <w:t>7 to 2017/18</w:t>
      </w:r>
      <w:r w:rsidRPr="00B17D9A">
        <w:rPr>
          <w:rFonts w:eastAsia="Calibri" w:cs="Calibri"/>
          <w:szCs w:val="22"/>
        </w:rPr>
        <w:t>) is 1,195 dwellings. These homes have mainly been delivered through a combination of developer contributions from qualifying developments (either provision onsite or financial contributions towards off-site provision) and the City Council’s own housebuilding programme. The supply of affordable housing in Oxford is expected to be further boosted in future monitoring years as major schemes are built out. This includes Barton Park (354 affordable homes), land north of Littlemore Healthcare Trust (70 affordable homes) and Littlemore Park (135 affordable homes expected). As with the overall housing numbers for completions and permissions, it is natural for affordable housing delivery to fluctuate due to the limited number of larger sites available within Oxford.</w:t>
      </w:r>
    </w:p>
    <w:p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Affordable Housing Tenure</w:t>
      </w:r>
    </w:p>
    <w:p w:rsidR="00126779"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The gross number of affordable homes delivered in the 2017/18 monitoring year was 32 homes. 10 of the 32</w:t>
      </w:r>
      <w:r w:rsidRPr="00351DD4">
        <w:rPr>
          <w:rFonts w:eastAsia="Calibri" w:cs="Calibri"/>
          <w:szCs w:val="22"/>
        </w:rPr>
        <w:t xml:space="preserve"> affor</w:t>
      </w:r>
      <w:r>
        <w:rPr>
          <w:rFonts w:eastAsia="Calibri" w:cs="Calibri"/>
          <w:szCs w:val="22"/>
        </w:rPr>
        <w:t xml:space="preserve">dable homes completed in 2017/18 were delivered through the </w:t>
      </w:r>
      <w:r>
        <w:rPr>
          <w:rFonts w:eastAsia="Calibri" w:cs="Calibri"/>
          <w:szCs w:val="22"/>
        </w:rPr>
        <w:lastRenderedPageBreak/>
        <w:t xml:space="preserve">redevelopment of </w:t>
      </w:r>
      <w:proofErr w:type="spellStart"/>
      <w:r>
        <w:rPr>
          <w:rFonts w:eastAsia="Calibri" w:cs="Calibri"/>
          <w:szCs w:val="22"/>
        </w:rPr>
        <w:t>Marywood</w:t>
      </w:r>
      <w:proofErr w:type="spellEnd"/>
      <w:r>
        <w:rPr>
          <w:rFonts w:eastAsia="Calibri" w:cs="Calibri"/>
          <w:szCs w:val="22"/>
        </w:rPr>
        <w:t xml:space="preserve"> House, Leiden Road (14/01770/FUL). All 10</w:t>
      </w:r>
      <w:r w:rsidRPr="00351DD4">
        <w:rPr>
          <w:rFonts w:eastAsia="Calibri" w:cs="Calibri"/>
          <w:szCs w:val="22"/>
        </w:rPr>
        <w:t xml:space="preserve"> homes are available on a </w:t>
      </w:r>
      <w:r w:rsidR="00B17D9A">
        <w:rPr>
          <w:rFonts w:eastAsia="Calibri" w:cs="Calibri"/>
          <w:szCs w:val="22"/>
        </w:rPr>
        <w:t>social rent</w:t>
      </w:r>
      <w:r w:rsidRPr="00351DD4">
        <w:rPr>
          <w:rFonts w:eastAsia="Calibri" w:cs="Calibri"/>
          <w:szCs w:val="22"/>
        </w:rPr>
        <w:t xml:space="preserve"> basis through a registered social landlord. </w:t>
      </w:r>
      <w:r>
        <w:rPr>
          <w:rFonts w:eastAsia="Calibri" w:cs="Calibri"/>
          <w:szCs w:val="22"/>
        </w:rPr>
        <w:t xml:space="preserve">15 affordable homes were completed through the redevelopment of Northway Centre, </w:t>
      </w:r>
      <w:proofErr w:type="spellStart"/>
      <w:r>
        <w:rPr>
          <w:rFonts w:eastAsia="Calibri" w:cs="Calibri"/>
          <w:szCs w:val="22"/>
        </w:rPr>
        <w:t>Maltfield</w:t>
      </w:r>
      <w:proofErr w:type="spellEnd"/>
      <w:r>
        <w:rPr>
          <w:rFonts w:eastAsia="Calibri" w:cs="Calibri"/>
          <w:szCs w:val="22"/>
        </w:rPr>
        <w:t xml:space="preserve"> Road (12/03280/FUL) and are available on a social rent (7) and shared ownership (8) basis. A further 6 affordable homes were delivered at 1 Abbey Road (15/02512/FUL) through the demolition of the existing buildings on site and the erection of 6 houses, 5 of which are offered on a social rent basis and 1 on a shared ownership basis. One additional affordable home was delivered at 17 Leopold Street (16/02601/CPU) and is available on a social rented basis through a registered landlord as well. </w:t>
      </w:r>
    </w:p>
    <w:p w:rsidR="005E0F67" w:rsidRPr="00351DD4" w:rsidRDefault="005E0F67" w:rsidP="00126779">
      <w:pPr>
        <w:numPr>
          <w:ilvl w:val="1"/>
          <w:numId w:val="8"/>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 xml:space="preserve">23 of the </w:t>
      </w:r>
      <w:r w:rsidR="0086183F">
        <w:rPr>
          <w:rFonts w:eastAsia="Calibri" w:cs="Calibri"/>
          <w:szCs w:val="22"/>
        </w:rPr>
        <w:t xml:space="preserve">32 </w:t>
      </w:r>
      <w:r>
        <w:rPr>
          <w:rFonts w:eastAsia="Calibri" w:cs="Calibri"/>
          <w:szCs w:val="22"/>
        </w:rPr>
        <w:t xml:space="preserve">affordable homes delivered were on a social rent basis </w:t>
      </w:r>
      <w:r w:rsidR="0086183F">
        <w:rPr>
          <w:rFonts w:eastAsia="Calibri" w:cs="Calibri"/>
          <w:szCs w:val="22"/>
        </w:rPr>
        <w:t>meaning in total</w:t>
      </w:r>
      <w:r>
        <w:rPr>
          <w:rFonts w:eastAsia="Calibri" w:cs="Calibri"/>
          <w:szCs w:val="22"/>
        </w:rPr>
        <w:t xml:space="preserve"> throughout the monitoring year 71% of affordable homes delivered were on a social rent basis. The 80% target was met on all applications except one (Northway Centre) which lowered the overall percentage for the monitoring year. On an application-by-application basis however the Council is achieving the 80% social rent tenure split in most cases. </w:t>
      </w:r>
    </w:p>
    <w:bookmarkStart w:id="15" w:name="_Toc529178345"/>
    <w:p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9744" behindDoc="1" locked="0" layoutInCell="1" allowOverlap="1" wp14:anchorId="6EE7838C" wp14:editId="42AE8613">
                <wp:simplePos x="0" y="0"/>
                <wp:positionH relativeFrom="column">
                  <wp:posOffset>-66675</wp:posOffset>
                </wp:positionH>
                <wp:positionV relativeFrom="paragraph">
                  <wp:posOffset>-1906</wp:posOffset>
                </wp:positionV>
                <wp:extent cx="5875655" cy="12477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5875655" cy="12477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6515EF" id="Rectangle 273" o:spid="_x0000_s1026" style="position:absolute;margin-left:-5.25pt;margin-top:-.15pt;width:462.65pt;height:9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2eQIAAO8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" fillcolor="#fcd5b5" stroked="f" strokeweight="2pt"/>
            </w:pict>
          </mc:Fallback>
        </mc:AlternateContent>
      </w:r>
      <w:r w:rsidRPr="00351DD4">
        <w:rPr>
          <w:rFonts w:asciiTheme="minorHAnsi" w:hAnsiTheme="minorHAnsi"/>
          <w:b/>
          <w:lang w:eastAsia="en-GB"/>
        </w:rPr>
        <w:t>Indicator 9: AFFORDABLE HOMES BUILT ON CITY COUNCIL LAND</w:t>
      </w:r>
      <w:bookmarkEnd w:id="15"/>
      <w:r w:rsidRPr="00351DD4">
        <w:rPr>
          <w:rFonts w:asciiTheme="minorHAnsi" w:hAnsiTheme="minorHAnsi"/>
          <w:b/>
          <w:lang w:eastAsia="en-GB"/>
        </w:rPr>
        <w:t xml:space="preserve"> </w:t>
      </w:r>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spacing w:after="200" w:line="276" w:lineRule="auto"/>
        <w:ind w:right="-46"/>
        <w:jc w:val="both"/>
        <w:rPr>
          <w:rFonts w:eastAsia="Calibri" w:cs="Calibri"/>
          <w:b/>
          <w:color w:val="984806" w:themeColor="accent6" w:themeShade="80"/>
          <w:szCs w:val="22"/>
        </w:rPr>
      </w:pPr>
      <w:r w:rsidRPr="00351DD4">
        <w:rPr>
          <w:rFonts w:eastAsia="Calibri" w:cs="Calibri"/>
          <w:b/>
          <w:color w:val="984806" w:themeColor="accent6" w:themeShade="80"/>
          <w:szCs w:val="22"/>
        </w:rPr>
        <w:t>No set target. The City Council is committed to delivering more affordable housing in Oxford and is one of the few authorities in England building its own council housing. The City Council has been identifying land in its ownership capable of delivering affordable homes and is bringing this forward wherever possible. The AMR will now report on the number of affordable units built on City Council land.</w:t>
      </w:r>
      <w:r w:rsidRPr="00351DD4">
        <w:rPr>
          <w:rFonts w:eastAsia="Calibri" w:cs="Calibri"/>
          <w:b/>
          <w:color w:val="984806" w:themeColor="accent6" w:themeShade="80"/>
          <w:szCs w:val="22"/>
          <w:vertAlign w:val="superscript"/>
        </w:rPr>
        <w:footnoteReference w:id="20"/>
      </w:r>
      <w:r w:rsidRPr="00351DD4">
        <w:rPr>
          <w:rFonts w:eastAsia="Calibri" w:cs="Calibri"/>
          <w:b/>
          <w:color w:val="984806" w:themeColor="accent6" w:themeShade="80"/>
          <w:szCs w:val="22"/>
        </w:rPr>
        <w:t xml:space="preserve">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Of the </w:t>
      </w:r>
      <w:r>
        <w:rPr>
          <w:rFonts w:eastAsia="Calibri" w:cs="Calibri"/>
          <w:szCs w:val="22"/>
        </w:rPr>
        <w:t>32</w:t>
      </w:r>
      <w:r w:rsidRPr="00351DD4">
        <w:rPr>
          <w:rFonts w:eastAsia="Calibri" w:cs="Calibri"/>
          <w:szCs w:val="22"/>
        </w:rPr>
        <w:t xml:space="preserve"> affordable dwellings completed in Oxford in 201</w:t>
      </w:r>
      <w:r>
        <w:rPr>
          <w:rFonts w:eastAsia="Calibri" w:cs="Calibri"/>
          <w:szCs w:val="22"/>
        </w:rPr>
        <w:t>7</w:t>
      </w:r>
      <w:r w:rsidRPr="00351DD4">
        <w:rPr>
          <w:rFonts w:eastAsia="Calibri" w:cs="Calibri"/>
          <w:szCs w:val="22"/>
        </w:rPr>
        <w:t>/1</w:t>
      </w:r>
      <w:r>
        <w:rPr>
          <w:rFonts w:eastAsia="Calibri" w:cs="Calibri"/>
          <w:szCs w:val="22"/>
        </w:rPr>
        <w:t>8</w:t>
      </w:r>
      <w:r w:rsidRPr="00351DD4">
        <w:rPr>
          <w:rFonts w:eastAsia="Calibri" w:cs="Calibri"/>
          <w:szCs w:val="22"/>
        </w:rPr>
        <w:t xml:space="preserve">, </w:t>
      </w:r>
      <w:r>
        <w:rPr>
          <w:rFonts w:eastAsia="Calibri" w:cs="Calibri"/>
          <w:szCs w:val="22"/>
        </w:rPr>
        <w:t>25</w:t>
      </w:r>
      <w:r w:rsidRPr="00351DD4">
        <w:rPr>
          <w:rFonts w:eastAsia="Calibri" w:cs="Calibri"/>
          <w:szCs w:val="22"/>
        </w:rPr>
        <w:t xml:space="preserve"> were delivered on City Council land (Table 11).</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46"/>
        <w:gridCol w:w="1564"/>
        <w:gridCol w:w="1433"/>
        <w:gridCol w:w="1433"/>
        <w:gridCol w:w="1433"/>
        <w:gridCol w:w="1433"/>
      </w:tblGrid>
      <w:tr w:rsidR="00126779" w:rsidRPr="00351DD4" w:rsidTr="00126779">
        <w:tc>
          <w:tcPr>
            <w:tcW w:w="1946" w:type="dxa"/>
            <w:shd w:val="clear" w:color="auto" w:fill="FBD4B4" w:themeFill="accent6" w:themeFillTint="66"/>
            <w:vAlign w:val="center"/>
          </w:tcPr>
          <w:p w:rsidR="00126779" w:rsidRPr="00351DD4" w:rsidRDefault="00126779" w:rsidP="00126779">
            <w:pPr>
              <w:contextualSpacing/>
              <w:jc w:val="center"/>
              <w:rPr>
                <w:rFonts w:cstheme="minorHAnsi"/>
                <w:b/>
                <w:color w:val="262626" w:themeColor="text1" w:themeTint="D9"/>
                <w:sz w:val="20"/>
              </w:rPr>
            </w:pPr>
            <w:r w:rsidRPr="00351DD4">
              <w:rPr>
                <w:rFonts w:cstheme="minorHAnsi"/>
                <w:b/>
                <w:color w:val="262626" w:themeColor="text1" w:themeTint="D9"/>
                <w:sz w:val="20"/>
              </w:rPr>
              <w:t xml:space="preserve">City Council </w:t>
            </w:r>
          </w:p>
          <w:p w:rsidR="00126779" w:rsidRPr="00351DD4" w:rsidRDefault="00126779" w:rsidP="00126779">
            <w:pPr>
              <w:contextualSpacing/>
              <w:jc w:val="center"/>
              <w:rPr>
                <w:rFonts w:cstheme="minorHAnsi"/>
                <w:b/>
                <w:color w:val="262626" w:themeColor="text1" w:themeTint="D9"/>
                <w:sz w:val="20"/>
              </w:rPr>
            </w:pPr>
            <w:r w:rsidRPr="00351DD4">
              <w:rPr>
                <w:rFonts w:cstheme="minorHAnsi"/>
                <w:b/>
                <w:color w:val="262626" w:themeColor="text1" w:themeTint="D9"/>
                <w:sz w:val="20"/>
              </w:rPr>
              <w:t>owned site</w:t>
            </w:r>
          </w:p>
        </w:tc>
        <w:tc>
          <w:tcPr>
            <w:tcW w:w="1564"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Planning application reference</w:t>
            </w:r>
          </w:p>
        </w:tc>
        <w:tc>
          <w:tcPr>
            <w:tcW w:w="1433"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No. homes for social rent completed</w:t>
            </w:r>
          </w:p>
        </w:tc>
        <w:tc>
          <w:tcPr>
            <w:tcW w:w="1433" w:type="dxa"/>
            <w:shd w:val="clear" w:color="auto" w:fill="FBD4B4" w:themeFill="accent6" w:themeFillTint="66"/>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No. homes for affordable rent completed</w:t>
            </w:r>
          </w:p>
        </w:tc>
        <w:tc>
          <w:tcPr>
            <w:tcW w:w="1433" w:type="dxa"/>
            <w:shd w:val="clear" w:color="auto" w:fill="FBD4B4" w:themeFill="accent6" w:themeFillTint="66"/>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No. of intermediate homes completed</w:t>
            </w:r>
          </w:p>
        </w:tc>
        <w:tc>
          <w:tcPr>
            <w:tcW w:w="1433" w:type="dxa"/>
            <w:shd w:val="clear" w:color="auto" w:fill="FBD4B4" w:themeFill="accent6" w:themeFillTint="66"/>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Total number of affordable homes completed</w:t>
            </w:r>
          </w:p>
        </w:tc>
      </w:tr>
      <w:tr w:rsidR="00126779" w:rsidRPr="00351DD4" w:rsidTr="00126779">
        <w:tc>
          <w:tcPr>
            <w:tcW w:w="1946" w:type="dxa"/>
            <w:shd w:val="clear" w:color="auto" w:fill="FFFFFF" w:themeFill="background1"/>
          </w:tcPr>
          <w:p w:rsidR="00126779" w:rsidRPr="004B7BB1" w:rsidRDefault="00126779" w:rsidP="00126779">
            <w:pPr>
              <w:rPr>
                <w:rFonts w:asciiTheme="minorHAnsi" w:hAnsiTheme="minorHAnsi" w:cstheme="minorHAnsi"/>
                <w:color w:val="262626" w:themeColor="text1" w:themeTint="D9"/>
                <w:sz w:val="20"/>
                <w:szCs w:val="20"/>
              </w:rPr>
            </w:pPr>
            <w:proofErr w:type="spellStart"/>
            <w:r w:rsidRPr="004B7BB1">
              <w:rPr>
                <w:color w:val="000000"/>
                <w:sz w:val="20"/>
                <w:szCs w:val="20"/>
              </w:rPr>
              <w:t>Marywood</w:t>
            </w:r>
            <w:proofErr w:type="spellEnd"/>
            <w:r w:rsidRPr="004B7BB1">
              <w:rPr>
                <w:color w:val="000000"/>
                <w:sz w:val="20"/>
                <w:szCs w:val="20"/>
              </w:rPr>
              <w:t xml:space="preserve"> House</w:t>
            </w:r>
            <w:r w:rsidRPr="004B7BB1">
              <w:rPr>
                <w:color w:val="000000"/>
                <w:sz w:val="20"/>
                <w:szCs w:val="20"/>
              </w:rPr>
              <w:br/>
              <w:t>Leiden Road</w:t>
            </w:r>
            <w:r w:rsidRPr="004B7BB1">
              <w:rPr>
                <w:color w:val="000000"/>
                <w:sz w:val="20"/>
                <w:szCs w:val="20"/>
              </w:rPr>
              <w:br/>
              <w:t>Oxford</w:t>
            </w:r>
          </w:p>
        </w:tc>
        <w:tc>
          <w:tcPr>
            <w:tcW w:w="1564" w:type="dxa"/>
            <w:shd w:val="clear" w:color="auto" w:fill="FFFFFF" w:themeFill="background1"/>
          </w:tcPr>
          <w:p w:rsidR="00126779" w:rsidRPr="004B7BB1" w:rsidRDefault="00126779" w:rsidP="00126779">
            <w:pPr>
              <w:jc w:val="center"/>
              <w:rPr>
                <w:color w:val="000000"/>
                <w:sz w:val="20"/>
                <w:szCs w:val="20"/>
              </w:rPr>
            </w:pPr>
            <w:r w:rsidRPr="004B7BB1">
              <w:rPr>
                <w:color w:val="000000"/>
                <w:sz w:val="20"/>
                <w:szCs w:val="20"/>
              </w:rPr>
              <w:t>14/01770/FUL</w:t>
            </w:r>
          </w:p>
          <w:p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shd w:val="clear" w:color="auto" w:fill="FFFFFF" w:themeFill="background1"/>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c>
          <w:tcPr>
            <w:tcW w:w="1433" w:type="dxa"/>
            <w:shd w:val="clear" w:color="auto" w:fill="auto"/>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433" w:type="dxa"/>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433" w:type="dxa"/>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r>
      <w:tr w:rsidR="00126779" w:rsidRPr="00351DD4" w:rsidTr="00126779">
        <w:tc>
          <w:tcPr>
            <w:tcW w:w="1946" w:type="dxa"/>
            <w:shd w:val="clear" w:color="auto" w:fill="FFFFFF" w:themeFill="background1"/>
          </w:tcPr>
          <w:p w:rsidR="00126779" w:rsidRPr="004B7BB1" w:rsidRDefault="00126779" w:rsidP="00126779">
            <w:pPr>
              <w:rPr>
                <w:color w:val="000000"/>
                <w:sz w:val="20"/>
                <w:szCs w:val="20"/>
              </w:rPr>
            </w:pPr>
            <w:r w:rsidRPr="004B7BB1">
              <w:rPr>
                <w:color w:val="000000"/>
                <w:sz w:val="20"/>
                <w:szCs w:val="20"/>
              </w:rPr>
              <w:t xml:space="preserve">Northway Centre, </w:t>
            </w:r>
            <w:proofErr w:type="spellStart"/>
            <w:r w:rsidRPr="004B7BB1">
              <w:rPr>
                <w:color w:val="000000"/>
                <w:sz w:val="20"/>
                <w:szCs w:val="20"/>
              </w:rPr>
              <w:t>Maltfield</w:t>
            </w:r>
            <w:proofErr w:type="spellEnd"/>
            <w:r w:rsidRPr="004B7BB1">
              <w:rPr>
                <w:color w:val="000000"/>
                <w:sz w:val="20"/>
                <w:szCs w:val="20"/>
              </w:rPr>
              <w:t xml:space="preserve"> Road, Oxford</w:t>
            </w:r>
          </w:p>
          <w:p w:rsidR="00126779" w:rsidRPr="004B7BB1" w:rsidRDefault="00126779" w:rsidP="00126779">
            <w:pPr>
              <w:rPr>
                <w:rFonts w:asciiTheme="minorHAnsi" w:hAnsiTheme="minorHAnsi" w:cstheme="minorHAnsi"/>
                <w:color w:val="262626" w:themeColor="text1" w:themeTint="D9"/>
                <w:sz w:val="20"/>
                <w:szCs w:val="20"/>
              </w:rPr>
            </w:pPr>
          </w:p>
        </w:tc>
        <w:tc>
          <w:tcPr>
            <w:tcW w:w="1564" w:type="dxa"/>
            <w:shd w:val="clear" w:color="auto" w:fill="FFFFFF" w:themeFill="background1"/>
          </w:tcPr>
          <w:p w:rsidR="00126779" w:rsidRPr="004B7BB1" w:rsidRDefault="00126779" w:rsidP="00126779">
            <w:pPr>
              <w:jc w:val="center"/>
              <w:rPr>
                <w:color w:val="000000"/>
                <w:sz w:val="20"/>
                <w:szCs w:val="20"/>
              </w:rPr>
            </w:pPr>
            <w:r w:rsidRPr="004B7BB1">
              <w:rPr>
                <w:color w:val="000000"/>
                <w:sz w:val="20"/>
                <w:szCs w:val="20"/>
              </w:rPr>
              <w:t>12/03280/FUL</w:t>
            </w:r>
          </w:p>
          <w:p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shd w:val="clear" w:color="auto" w:fill="FFFFFF" w:themeFill="background1"/>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7</w:t>
            </w:r>
          </w:p>
        </w:tc>
        <w:tc>
          <w:tcPr>
            <w:tcW w:w="1433" w:type="dxa"/>
            <w:shd w:val="clear" w:color="auto" w:fill="auto"/>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433" w:type="dxa"/>
          </w:tcPr>
          <w:p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433" w:type="dxa"/>
          </w:tcPr>
          <w:p w:rsidR="00126779"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15</w:t>
            </w:r>
          </w:p>
          <w:p w:rsidR="00126779" w:rsidRPr="004B7BB1" w:rsidRDefault="00126779" w:rsidP="00126779">
            <w:pPr>
              <w:jc w:val="center"/>
              <w:rPr>
                <w:rFonts w:asciiTheme="minorHAnsi" w:hAnsiTheme="minorHAnsi" w:cstheme="minorHAnsi"/>
                <w:sz w:val="20"/>
                <w:szCs w:val="20"/>
              </w:rPr>
            </w:pPr>
          </w:p>
        </w:tc>
      </w:tr>
      <w:tr w:rsidR="00126779" w:rsidRPr="00351DD4" w:rsidTr="00126779">
        <w:trPr>
          <w:trHeight w:val="275"/>
        </w:trPr>
        <w:tc>
          <w:tcPr>
            <w:tcW w:w="1946" w:type="dxa"/>
            <w:tcBorders>
              <w:left w:val="nil"/>
              <w:bottom w:val="nil"/>
              <w:right w:val="nil"/>
            </w:tcBorders>
            <w:shd w:val="clear" w:color="auto" w:fill="FFFFFF" w:themeFill="background1"/>
          </w:tcPr>
          <w:p w:rsidR="00126779" w:rsidRPr="00351DD4" w:rsidRDefault="00126779" w:rsidP="00126779">
            <w:pPr>
              <w:rPr>
                <w:rFonts w:asciiTheme="minorHAnsi" w:hAnsiTheme="minorHAnsi" w:cstheme="minorHAnsi"/>
                <w:color w:val="262626" w:themeColor="text1" w:themeTint="D9"/>
                <w:sz w:val="20"/>
              </w:rPr>
            </w:pPr>
          </w:p>
        </w:tc>
        <w:tc>
          <w:tcPr>
            <w:tcW w:w="1564" w:type="dxa"/>
            <w:tcBorders>
              <w:left w:val="nil"/>
              <w:bottom w:val="nil"/>
              <w:right w:val="nil"/>
            </w:tcBorders>
            <w:shd w:val="clear" w:color="auto" w:fill="FFFFFF" w:themeFill="background1"/>
          </w:tcPr>
          <w:p w:rsidR="00126779" w:rsidRPr="00351DD4" w:rsidRDefault="00126779" w:rsidP="00126779">
            <w:pPr>
              <w:rPr>
                <w:rFonts w:asciiTheme="minorHAnsi" w:hAnsiTheme="minorHAnsi" w:cstheme="minorHAnsi"/>
                <w:color w:val="262626" w:themeColor="text1" w:themeTint="D9"/>
                <w:sz w:val="20"/>
              </w:rPr>
            </w:pPr>
          </w:p>
        </w:tc>
        <w:tc>
          <w:tcPr>
            <w:tcW w:w="1433" w:type="dxa"/>
            <w:tcBorders>
              <w:left w:val="nil"/>
              <w:bottom w:val="nil"/>
              <w:right w:val="nil"/>
            </w:tcBorders>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rPr>
            </w:pPr>
          </w:p>
        </w:tc>
        <w:tc>
          <w:tcPr>
            <w:tcW w:w="1433" w:type="dxa"/>
            <w:tcBorders>
              <w:left w:val="nil"/>
              <w:bottom w:val="nil"/>
            </w:tcBorders>
            <w:shd w:val="clear" w:color="auto" w:fill="auto"/>
          </w:tcPr>
          <w:p w:rsidR="00126779" w:rsidRPr="00351DD4" w:rsidRDefault="00126779" w:rsidP="00126779">
            <w:pPr>
              <w:jc w:val="center"/>
              <w:rPr>
                <w:rFonts w:asciiTheme="minorHAnsi" w:hAnsiTheme="minorHAnsi" w:cstheme="minorHAnsi"/>
                <w:color w:val="262626" w:themeColor="text1" w:themeTint="D9"/>
                <w:sz w:val="20"/>
              </w:rPr>
            </w:pPr>
          </w:p>
        </w:tc>
        <w:tc>
          <w:tcPr>
            <w:tcW w:w="1433" w:type="dxa"/>
            <w:shd w:val="clear" w:color="auto" w:fill="FDE9D9" w:themeFill="accent6" w:themeFillTint="33"/>
          </w:tcPr>
          <w:p w:rsidR="00126779" w:rsidRPr="00351DD4" w:rsidRDefault="00126779" w:rsidP="00126779">
            <w:pPr>
              <w:jc w:val="center"/>
              <w:rPr>
                <w:rFonts w:asciiTheme="minorHAnsi" w:hAnsiTheme="minorHAnsi" w:cstheme="minorHAnsi"/>
                <w:b/>
                <w:color w:val="262626" w:themeColor="text1" w:themeTint="D9"/>
                <w:sz w:val="20"/>
              </w:rPr>
            </w:pPr>
            <w:r w:rsidRPr="00351DD4">
              <w:rPr>
                <w:rFonts w:asciiTheme="minorHAnsi" w:hAnsiTheme="minorHAnsi" w:cstheme="minorHAnsi"/>
                <w:b/>
                <w:color w:val="262626" w:themeColor="text1" w:themeTint="D9"/>
                <w:sz w:val="20"/>
              </w:rPr>
              <w:t>Total:</w:t>
            </w:r>
          </w:p>
        </w:tc>
        <w:tc>
          <w:tcPr>
            <w:tcW w:w="1433" w:type="dxa"/>
            <w:shd w:val="clear" w:color="auto" w:fill="FDE9D9" w:themeFill="accent6" w:themeFillTint="33"/>
          </w:tcPr>
          <w:p w:rsidR="00126779" w:rsidRPr="00351DD4" w:rsidRDefault="00126779" w:rsidP="00126779">
            <w:pPr>
              <w:jc w:val="center"/>
              <w:rPr>
                <w:rFonts w:asciiTheme="minorHAnsi" w:hAnsiTheme="minorHAnsi" w:cstheme="minorHAnsi"/>
                <w:b/>
                <w:color w:val="262626" w:themeColor="text1" w:themeTint="D9"/>
                <w:sz w:val="20"/>
              </w:rPr>
            </w:pPr>
            <w:r w:rsidRPr="00351DD4">
              <w:rPr>
                <w:rFonts w:asciiTheme="minorHAnsi" w:hAnsiTheme="minorHAnsi" w:cstheme="minorHAnsi"/>
                <w:color w:val="262626" w:themeColor="text1" w:themeTint="D9"/>
                <w:sz w:val="20"/>
              </w:rPr>
              <w:t>2</w:t>
            </w:r>
            <w:r>
              <w:rPr>
                <w:rFonts w:asciiTheme="minorHAnsi" w:hAnsiTheme="minorHAnsi" w:cstheme="minorHAnsi"/>
                <w:color w:val="262626" w:themeColor="text1" w:themeTint="D9"/>
                <w:sz w:val="20"/>
              </w:rPr>
              <w:t>5</w:t>
            </w:r>
          </w:p>
        </w:tc>
      </w:tr>
    </w:tbl>
    <w:p w:rsidR="00126779" w:rsidRPr="00351DD4" w:rsidRDefault="00126779" w:rsidP="00126779">
      <w:pPr>
        <w:autoSpaceDE w:val="0"/>
        <w:autoSpaceDN w:val="0"/>
        <w:adjustRightInd w:val="0"/>
        <w:spacing w:line="276" w:lineRule="auto"/>
        <w:ind w:right="-45"/>
        <w:jc w:val="center"/>
        <w:rPr>
          <w:rFonts w:eastAsia="Calibri" w:cs="Calibri"/>
          <w:color w:val="000000"/>
          <w:sz w:val="20"/>
          <w:szCs w:val="22"/>
        </w:rPr>
      </w:pPr>
      <w:r w:rsidRPr="00351DD4">
        <w:rPr>
          <w:rFonts w:eastAsia="Calibri" w:cs="Calibri"/>
          <w:b/>
          <w:color w:val="000000"/>
          <w:sz w:val="20"/>
          <w:szCs w:val="20"/>
        </w:rPr>
        <w:t xml:space="preserve">Table 11: </w:t>
      </w:r>
      <w:r w:rsidRPr="00351DD4">
        <w:rPr>
          <w:sz w:val="20"/>
          <w:szCs w:val="20"/>
        </w:rPr>
        <w:t>Affordable homes completed on City Council land (by tenure)</w:t>
      </w:r>
      <w:r w:rsidRPr="00351DD4">
        <w:rPr>
          <w:rFonts w:eastAsia="Calibri" w:cs="Calibri"/>
          <w:color w:val="000000"/>
          <w:sz w:val="20"/>
          <w:szCs w:val="22"/>
        </w:rPr>
        <w:t xml:space="preserve"> 201</w:t>
      </w:r>
      <w:r>
        <w:rPr>
          <w:rFonts w:eastAsia="Calibri" w:cs="Calibri"/>
          <w:color w:val="000000"/>
          <w:sz w:val="20"/>
          <w:szCs w:val="22"/>
        </w:rPr>
        <w:t>7</w:t>
      </w:r>
      <w:r w:rsidRPr="00351DD4">
        <w:rPr>
          <w:rFonts w:eastAsia="Calibri" w:cs="Calibri"/>
          <w:color w:val="000000"/>
          <w:sz w:val="20"/>
          <w:szCs w:val="22"/>
        </w:rPr>
        <w:t>/1</w:t>
      </w:r>
      <w:r>
        <w:rPr>
          <w:rFonts w:eastAsia="Calibri" w:cs="Calibri"/>
          <w:color w:val="000000"/>
          <w:sz w:val="20"/>
          <w:szCs w:val="22"/>
        </w:rPr>
        <w:t>8</w:t>
      </w:r>
    </w:p>
    <w:p w:rsidR="00126779" w:rsidRPr="00351DD4" w:rsidRDefault="00126779" w:rsidP="00126779">
      <w:pPr>
        <w:autoSpaceDE w:val="0"/>
        <w:autoSpaceDN w:val="0"/>
        <w:adjustRightInd w:val="0"/>
        <w:spacing w:line="276" w:lineRule="auto"/>
        <w:ind w:right="-45"/>
        <w:jc w:val="center"/>
        <w:rPr>
          <w:rFonts w:eastAsia="Calibri" w:cs="Calibri"/>
          <w:color w:val="000000"/>
          <w:sz w:val="20"/>
          <w:szCs w:val="22"/>
        </w:rPr>
      </w:pP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In 2016 the City Council set up its own housing company. The housing company is wholly owned by the City Council and will be used to deliver new affordable homes in Oxford. It is proposed that the housing company will purchase and manage the affordable rented homes at Barton Park, develop new build housing on City Council land and buy affordable housing from developers on private land, as well as undertaking estate regeneration schemes. The City Council could also compulsorily purchase land allocated for housing from landowners reluctant </w:t>
      </w:r>
      <w:r w:rsidRPr="00351DD4">
        <w:rPr>
          <w:rFonts w:eastAsia="Calibri" w:cs="Calibri"/>
          <w:szCs w:val="22"/>
        </w:rPr>
        <w:lastRenderedPageBreak/>
        <w:t>to develop and sell it to the housing company to bring forward development more quickly. The City Council’s decision to set up a housing company follows changes introduced by the Housing and Planning Act 2016 which would make it more difficult for the City Council to continue building and maintaining its own affordable housing stocks.</w:t>
      </w:r>
    </w:p>
    <w:bookmarkStart w:id="16" w:name="_Toc529178346"/>
    <w:p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68480" behindDoc="1" locked="0" layoutInCell="1" allowOverlap="1" wp14:anchorId="0A6D8965" wp14:editId="273C96F9">
                <wp:simplePos x="0" y="0"/>
                <wp:positionH relativeFrom="column">
                  <wp:posOffset>-63795</wp:posOffset>
                </wp:positionH>
                <wp:positionV relativeFrom="paragraph">
                  <wp:posOffset>6439</wp:posOffset>
                </wp:positionV>
                <wp:extent cx="5885180" cy="1648046"/>
                <wp:effectExtent l="0" t="0" r="1270" b="9525"/>
                <wp:wrapNone/>
                <wp:docPr id="86" name="Rectangle 86"/>
                <wp:cNvGraphicFramePr/>
                <a:graphic xmlns:a="http://schemas.openxmlformats.org/drawingml/2006/main">
                  <a:graphicData uri="http://schemas.microsoft.com/office/word/2010/wordprocessingShape">
                    <wps:wsp>
                      <wps:cNvSpPr/>
                      <wps:spPr>
                        <a:xfrm>
                          <a:off x="0" y="0"/>
                          <a:ext cx="5885180" cy="1648046"/>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70C93A" id="Rectangle 86" o:spid="_x0000_s1026" style="position:absolute;margin-left:-5pt;margin-top:.5pt;width:463.4pt;height:12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" fillcolor="#fcd5b5" stroked="f" strokeweight="2pt"/>
            </w:pict>
          </mc:Fallback>
        </mc:AlternateContent>
      </w:r>
      <w:r w:rsidRPr="00351DD4">
        <w:rPr>
          <w:rFonts w:asciiTheme="minorHAnsi" w:hAnsiTheme="minorHAnsi"/>
          <w:b/>
          <w:lang w:eastAsia="en-GB"/>
        </w:rPr>
        <w:t>Indicator 10: PROPORTION OF AFFORDABLE HOUSING WHERE THERE IS A POLICY REQUIREMENT (PERMISSIONS)</w:t>
      </w:r>
      <w:bookmarkEnd w:id="16"/>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ind w:left="709" w:hanging="709"/>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50% provision of affordable housing on qualifying sites. </w:t>
      </w:r>
    </w:p>
    <w:p w:rsidR="00126779" w:rsidRPr="00351DD4" w:rsidRDefault="00126779" w:rsidP="00126779">
      <w:pPr>
        <w:autoSpaceDE w:val="0"/>
        <w:autoSpaceDN w:val="0"/>
        <w:adjustRightInd w:val="0"/>
        <w:ind w:firstLine="709"/>
        <w:jc w:val="both"/>
        <w:rPr>
          <w:rFonts w:eastAsia="Calibri" w:cs="Calibri"/>
          <w:b/>
          <w:color w:val="984806" w:themeColor="accent6" w:themeShade="80"/>
          <w:szCs w:val="22"/>
        </w:rPr>
      </w:pPr>
      <w:r w:rsidRPr="00351DD4">
        <w:rPr>
          <w:rFonts w:eastAsia="Calibri" w:cs="Calibri"/>
          <w:color w:val="984806" w:themeColor="accent6" w:themeShade="80"/>
          <w:sz w:val="20"/>
          <w:szCs w:val="22"/>
        </w:rPr>
        <w:t>(Oxford Core Strategy Policy CS24 &amp; Sites and Housing Plan Policy HP3)</w:t>
      </w:r>
    </w:p>
    <w:p w:rsidR="00126779" w:rsidRPr="00351DD4" w:rsidRDefault="00126779" w:rsidP="00126779">
      <w:pPr>
        <w:tabs>
          <w:tab w:val="left" w:pos="930"/>
        </w:tabs>
        <w:autoSpaceDE w:val="0"/>
        <w:autoSpaceDN w:val="0"/>
        <w:adjustRightInd w:val="0"/>
        <w:jc w:val="both"/>
        <w:rPr>
          <w:rFonts w:eastAsia="Calibri" w:cs="Calibri"/>
          <w:b/>
          <w:color w:val="984806" w:themeColor="accent6" w:themeShade="80"/>
          <w:sz w:val="10"/>
          <w:szCs w:val="10"/>
        </w:rPr>
      </w:pPr>
      <w:r w:rsidRPr="00351DD4">
        <w:rPr>
          <w:rFonts w:eastAsia="Calibri" w:cs="Calibri"/>
          <w:b/>
          <w:color w:val="984806" w:themeColor="accent6" w:themeShade="80"/>
          <w:szCs w:val="22"/>
        </w:rPr>
        <w:tab/>
      </w: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rsidTr="00126779">
        <w:trPr>
          <w:trHeight w:val="218"/>
        </w:trPr>
        <w:tc>
          <w:tcPr>
            <w:tcW w:w="5420" w:type="dxa"/>
          </w:tcPr>
          <w:p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Performance against target 201</w:t>
            </w:r>
            <w:r>
              <w:rPr>
                <w:rFonts w:eastAsia="Calibri" w:cs="Calibri"/>
                <w:b/>
                <w:color w:val="984806" w:themeColor="accent6" w:themeShade="80"/>
              </w:rPr>
              <w:t>7</w:t>
            </w:r>
            <w:r w:rsidRPr="00351DD4">
              <w:rPr>
                <w:rFonts w:eastAsia="Calibri" w:cs="Calibri"/>
                <w:b/>
                <w:color w:val="984806" w:themeColor="accent6" w:themeShade="80"/>
              </w:rPr>
              <w:t>/1</w:t>
            </w:r>
            <w:r>
              <w:rPr>
                <w:rFonts w:eastAsia="Calibri" w:cs="Calibri"/>
                <w:b/>
                <w:color w:val="984806" w:themeColor="accent6" w:themeShade="80"/>
              </w:rPr>
              <w:t>8</w:t>
            </w:r>
            <w:r w:rsidRPr="00351DD4">
              <w:rPr>
                <w:rFonts w:eastAsia="Calibri" w:cs="Calibri"/>
                <w:b/>
                <w:color w:val="984806" w:themeColor="accent6" w:themeShade="80"/>
              </w:rPr>
              <w:t>:</w:t>
            </w:r>
          </w:p>
        </w:tc>
        <w:tc>
          <w:tcPr>
            <w:tcW w:w="3714"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c>
          <w:tcPr>
            <w:tcW w:w="5420" w:type="dxa"/>
            <w:vMerge w:val="restart"/>
          </w:tcPr>
          <w:p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p w:rsidR="00126779" w:rsidRPr="00351DD4" w:rsidRDefault="00126779" w:rsidP="00126779">
            <w:pPr>
              <w:autoSpaceDE w:val="0"/>
              <w:autoSpaceDN w:val="0"/>
              <w:adjustRightInd w:val="0"/>
              <w:jc w:val="center"/>
              <w:rPr>
                <w:rFonts w:eastAsia="Calibri" w:cs="Calibri"/>
                <w:b/>
                <w:color w:val="984806" w:themeColor="accent6" w:themeShade="80"/>
                <w:szCs w:val="12"/>
              </w:rPr>
            </w:pPr>
            <w:r w:rsidRPr="00351DD4">
              <w:rPr>
                <w:b/>
                <w:noProof/>
                <w:color w:val="3F4F21"/>
                <w:sz w:val="32"/>
                <w:szCs w:val="32"/>
                <w:lang w:eastAsia="en-GB"/>
              </w:rPr>
              <w:drawing>
                <wp:inline distT="0" distB="0" distL="0" distR="0" wp14:anchorId="5A789989" wp14:editId="5FA6F6C2">
                  <wp:extent cx="1388853" cy="418201"/>
                  <wp:effectExtent l="0" t="0" r="1905" b="1270"/>
                  <wp:docPr id="24" name="Picture 2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w:t>
            </w:r>
            <w:r w:rsidRPr="00351DD4">
              <w:rPr>
                <w:rFonts w:eastAsia="Calibri" w:cs="Calibri"/>
                <w:b/>
                <w:color w:val="984806" w:themeColor="accent6" w:themeShade="80"/>
              </w:rPr>
              <w:t>/1</w:t>
            </w:r>
            <w:r>
              <w:rPr>
                <w:rFonts w:eastAsia="Calibri" w:cs="Calibri"/>
                <w:b/>
                <w:color w:val="984806" w:themeColor="accent6" w:themeShade="80"/>
              </w:rPr>
              <w:t>7</w:t>
            </w:r>
            <w:r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23555016" wp14:editId="1AEE2D24">
                  <wp:extent cx="819150" cy="256182"/>
                  <wp:effectExtent l="0" t="0" r="0" b="0"/>
                  <wp:docPr id="25" name="Picture 2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rsidTr="00126779">
        <w:tc>
          <w:tcPr>
            <w:tcW w:w="5420"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5</w:t>
            </w:r>
            <w:r w:rsidRPr="00351DD4">
              <w:rPr>
                <w:rFonts w:eastAsia="Calibri" w:cs="Calibri"/>
                <w:b/>
                <w:color w:val="984806" w:themeColor="accent6" w:themeShade="80"/>
              </w:rPr>
              <w:t>/1</w:t>
            </w:r>
            <w:r>
              <w:rPr>
                <w:rFonts w:eastAsia="Calibri" w:cs="Calibri"/>
                <w:b/>
                <w:color w:val="984806" w:themeColor="accent6" w:themeShade="80"/>
              </w:rPr>
              <w:t>6</w:t>
            </w:r>
            <w:r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3E468D0E" wp14:editId="339E16CC">
                  <wp:extent cx="819150" cy="256182"/>
                  <wp:effectExtent l="0" t="0" r="0" b="0"/>
                  <wp:docPr id="31" name="Picture 3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351DD4" w:rsidRDefault="00126779" w:rsidP="00126779">
      <w:pPr>
        <w:autoSpaceDE w:val="0"/>
        <w:autoSpaceDN w:val="0"/>
        <w:adjustRightInd w:val="0"/>
        <w:spacing w:line="276" w:lineRule="auto"/>
        <w:ind w:right="-45"/>
        <w:jc w:val="both"/>
        <w:rPr>
          <w:rFonts w:eastAsia="Calibri" w:cs="Calibri"/>
          <w:sz w:val="12"/>
          <w:szCs w:val="12"/>
        </w:rPr>
      </w:pP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Sites and Housing Plan Policy HP3 states that planning permission will only be granted for residential development on sites with capacity for 10 or more dwellings, or which have an area of 0.25 hectares or greater, if generally a minimum of 50% of the dwellings on the site are provided as affordable homes. At least 80% of the affordable homes must be provided as social rented housing.</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The majorit</w:t>
      </w:r>
      <w:r>
        <w:rPr>
          <w:rFonts w:eastAsia="Calibri" w:cs="Calibri"/>
          <w:szCs w:val="22"/>
        </w:rPr>
        <w:t>y of housing permissions in 2017</w:t>
      </w:r>
      <w:r w:rsidRPr="00351DD4">
        <w:rPr>
          <w:rFonts w:eastAsia="Calibri" w:cs="Calibri"/>
          <w:szCs w:val="22"/>
        </w:rPr>
        <w:t>/1</w:t>
      </w:r>
      <w:r>
        <w:rPr>
          <w:rFonts w:eastAsia="Calibri" w:cs="Calibri"/>
          <w:szCs w:val="22"/>
        </w:rPr>
        <w:t>8</w:t>
      </w:r>
      <w:r w:rsidRPr="00351DD4">
        <w:rPr>
          <w:rFonts w:eastAsia="Calibri" w:cs="Calibri"/>
          <w:szCs w:val="22"/>
        </w:rPr>
        <w:t xml:space="preserve"> were small scale developments that did not meet the thresholds for applying Policy HP3. There were </w:t>
      </w:r>
      <w:r>
        <w:rPr>
          <w:rFonts w:eastAsia="Calibri" w:cs="Calibri"/>
          <w:szCs w:val="22"/>
        </w:rPr>
        <w:t xml:space="preserve">two </w:t>
      </w:r>
      <w:r w:rsidRPr="00351DD4">
        <w:rPr>
          <w:rFonts w:eastAsia="Calibri" w:cs="Calibri"/>
          <w:szCs w:val="22"/>
        </w:rPr>
        <w:t>applications that met the threshold for applying Policy HP3 during 201</w:t>
      </w:r>
      <w:r>
        <w:rPr>
          <w:rFonts w:eastAsia="Calibri" w:cs="Calibri"/>
          <w:szCs w:val="22"/>
        </w:rPr>
        <w:t>7</w:t>
      </w:r>
      <w:r w:rsidRPr="00351DD4">
        <w:rPr>
          <w:rFonts w:eastAsia="Calibri" w:cs="Calibri"/>
          <w:szCs w:val="22"/>
        </w:rPr>
        <w:t>/1</w:t>
      </w:r>
      <w:r>
        <w:rPr>
          <w:rFonts w:eastAsia="Calibri" w:cs="Calibri"/>
          <w:szCs w:val="22"/>
        </w:rPr>
        <w:t>8</w:t>
      </w:r>
      <w:r w:rsidRPr="00351DD4">
        <w:rPr>
          <w:rFonts w:eastAsia="Calibri" w:cs="Calibri"/>
          <w:szCs w:val="22"/>
        </w:rPr>
        <w:t xml:space="preserve"> as shown in Table 12.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26"/>
        <w:gridCol w:w="1417"/>
        <w:gridCol w:w="3079"/>
        <w:gridCol w:w="3220"/>
      </w:tblGrid>
      <w:tr w:rsidR="00126779" w:rsidRPr="00351DD4" w:rsidTr="00126779">
        <w:tc>
          <w:tcPr>
            <w:tcW w:w="1526"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Application</w:t>
            </w:r>
          </w:p>
        </w:tc>
        <w:tc>
          <w:tcPr>
            <w:tcW w:w="1417"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Site</w:t>
            </w:r>
          </w:p>
        </w:tc>
        <w:tc>
          <w:tcPr>
            <w:tcW w:w="3079"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Qualifying Development</w:t>
            </w:r>
          </w:p>
        </w:tc>
        <w:tc>
          <w:tcPr>
            <w:tcW w:w="3220" w:type="dxa"/>
            <w:shd w:val="clear" w:color="auto" w:fill="FBD4B4" w:themeFill="accent6" w:themeFillTint="66"/>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 xml:space="preserve">Affordable Housing Provision </w:t>
            </w:r>
          </w:p>
          <w:p w:rsidR="00126779" w:rsidRPr="00351DD4" w:rsidRDefault="00126779" w:rsidP="00126779">
            <w:pPr>
              <w:ind w:left="-68" w:right="-46"/>
              <w:jc w:val="center"/>
              <w:rPr>
                <w:rFonts w:cstheme="minorHAnsi"/>
                <w:color w:val="262626" w:themeColor="text1" w:themeTint="D9"/>
                <w:sz w:val="20"/>
              </w:rPr>
            </w:pPr>
            <w:r w:rsidRPr="00351DD4">
              <w:rPr>
                <w:rFonts w:cstheme="minorHAnsi"/>
                <w:color w:val="262626" w:themeColor="text1" w:themeTint="D9"/>
                <w:sz w:val="20"/>
              </w:rPr>
              <w:t>(as agreed in the planning permission)</w:t>
            </w:r>
          </w:p>
        </w:tc>
      </w:tr>
      <w:tr w:rsidR="00126779" w:rsidRPr="00351DD4" w:rsidTr="00126779">
        <w:trPr>
          <w:trHeight w:val="275"/>
        </w:trPr>
        <w:tc>
          <w:tcPr>
            <w:tcW w:w="1526" w:type="dxa"/>
            <w:shd w:val="clear" w:color="auto" w:fill="FFFFFF" w:themeFill="background1"/>
          </w:tcPr>
          <w:p w:rsidR="00126779" w:rsidRPr="00317504" w:rsidRDefault="00126779" w:rsidP="00126779">
            <w:pPr>
              <w:jc w:val="center"/>
              <w:rPr>
                <w:color w:val="000000"/>
                <w:sz w:val="20"/>
                <w:szCs w:val="20"/>
              </w:rPr>
            </w:pPr>
            <w:r w:rsidRPr="00317504">
              <w:rPr>
                <w:color w:val="000000"/>
                <w:sz w:val="20"/>
                <w:szCs w:val="20"/>
              </w:rPr>
              <w:t>13/01861/OUT</w:t>
            </w:r>
          </w:p>
          <w:p w:rsidR="00126779" w:rsidRPr="00317504" w:rsidRDefault="00126779" w:rsidP="00126779">
            <w:pPr>
              <w:jc w:val="center"/>
              <w:rPr>
                <w:rFonts w:asciiTheme="minorHAnsi" w:hAnsiTheme="minorHAnsi" w:cstheme="minorHAnsi"/>
                <w:color w:val="262626" w:themeColor="text1" w:themeTint="D9"/>
                <w:sz w:val="20"/>
                <w:szCs w:val="20"/>
              </w:rPr>
            </w:pPr>
          </w:p>
        </w:tc>
        <w:tc>
          <w:tcPr>
            <w:tcW w:w="1417" w:type="dxa"/>
            <w:shd w:val="clear" w:color="auto" w:fill="FFFFFF" w:themeFill="background1"/>
          </w:tcPr>
          <w:p w:rsidR="00126779" w:rsidRPr="00317504" w:rsidRDefault="00126779" w:rsidP="00126779">
            <w:pPr>
              <w:rPr>
                <w:color w:val="000000"/>
                <w:sz w:val="20"/>
                <w:szCs w:val="20"/>
              </w:rPr>
            </w:pPr>
            <w:proofErr w:type="spellStart"/>
            <w:r w:rsidRPr="00317504">
              <w:rPr>
                <w:color w:val="000000"/>
                <w:sz w:val="20"/>
                <w:szCs w:val="20"/>
              </w:rPr>
              <w:t>Wolvercote</w:t>
            </w:r>
            <w:proofErr w:type="spellEnd"/>
            <w:r w:rsidRPr="00317504">
              <w:rPr>
                <w:color w:val="000000"/>
                <w:sz w:val="20"/>
                <w:szCs w:val="20"/>
              </w:rPr>
              <w:t xml:space="preserve"> Paper Mill</w:t>
            </w:r>
            <w:r w:rsidRPr="00317504">
              <w:rPr>
                <w:color w:val="000000"/>
                <w:sz w:val="20"/>
                <w:szCs w:val="20"/>
              </w:rPr>
              <w:br/>
            </w:r>
            <w:proofErr w:type="spellStart"/>
            <w:r w:rsidRPr="00317504">
              <w:rPr>
                <w:color w:val="000000"/>
                <w:sz w:val="20"/>
                <w:szCs w:val="20"/>
              </w:rPr>
              <w:t>Mill</w:t>
            </w:r>
            <w:proofErr w:type="spellEnd"/>
            <w:r w:rsidRPr="00317504">
              <w:rPr>
                <w:color w:val="000000"/>
                <w:sz w:val="20"/>
                <w:szCs w:val="20"/>
              </w:rPr>
              <w:t xml:space="preserve"> Road</w:t>
            </w:r>
            <w:r w:rsidRPr="00317504">
              <w:rPr>
                <w:color w:val="000000"/>
                <w:sz w:val="20"/>
                <w:szCs w:val="20"/>
              </w:rPr>
              <w:br/>
              <w:t>Oxford</w:t>
            </w:r>
            <w:r w:rsidRPr="00317504">
              <w:rPr>
                <w:color w:val="000000"/>
                <w:sz w:val="20"/>
                <w:szCs w:val="20"/>
              </w:rPr>
              <w:br/>
              <w:t>Oxfordshire</w:t>
            </w:r>
            <w:r w:rsidRPr="00317504">
              <w:rPr>
                <w:color w:val="000000"/>
                <w:sz w:val="20"/>
                <w:szCs w:val="20"/>
              </w:rPr>
              <w:br/>
              <w:t>OX2 8PR</w:t>
            </w:r>
          </w:p>
          <w:p w:rsidR="00126779" w:rsidRPr="00317504" w:rsidRDefault="00126779" w:rsidP="00126779">
            <w:pPr>
              <w:rPr>
                <w:rFonts w:asciiTheme="minorHAnsi" w:hAnsiTheme="minorHAnsi" w:cstheme="minorHAnsi"/>
                <w:color w:val="262626" w:themeColor="text1" w:themeTint="D9"/>
                <w:sz w:val="20"/>
                <w:szCs w:val="20"/>
              </w:rPr>
            </w:pPr>
          </w:p>
        </w:tc>
        <w:tc>
          <w:tcPr>
            <w:tcW w:w="3079" w:type="dxa"/>
            <w:shd w:val="clear" w:color="auto" w:fill="FFFFFF" w:themeFill="background1"/>
          </w:tcPr>
          <w:p w:rsidR="00126779" w:rsidRPr="00317504" w:rsidRDefault="00126779" w:rsidP="00126779">
            <w:pPr>
              <w:rPr>
                <w:color w:val="000000"/>
                <w:sz w:val="20"/>
                <w:szCs w:val="20"/>
              </w:rPr>
            </w:pPr>
            <w:r w:rsidRPr="00317504">
              <w:rPr>
                <w:color w:val="000000"/>
                <w:sz w:val="20"/>
                <w:szCs w:val="20"/>
              </w:rPr>
              <w:t>Outline application (seeking means of access) for up to 190 residential units, employment space, community facilities, public open space and ancillary services and facilities</w:t>
            </w:r>
            <w:proofErr w:type="gramStart"/>
            <w:r w:rsidRPr="00317504">
              <w:rPr>
                <w:color w:val="000000"/>
                <w:sz w:val="20"/>
                <w:szCs w:val="20"/>
              </w:rPr>
              <w:t>.(</w:t>
            </w:r>
            <w:proofErr w:type="gramEnd"/>
            <w:r w:rsidRPr="00317504">
              <w:rPr>
                <w:color w:val="000000"/>
                <w:sz w:val="20"/>
                <w:szCs w:val="20"/>
              </w:rPr>
              <w:t>Amended plans)(Additional information).</w:t>
            </w:r>
          </w:p>
          <w:p w:rsidR="00126779" w:rsidRPr="00317504" w:rsidRDefault="00126779" w:rsidP="00126779">
            <w:pPr>
              <w:rPr>
                <w:rFonts w:asciiTheme="minorHAnsi" w:hAnsiTheme="minorHAnsi" w:cstheme="minorHAnsi"/>
                <w:color w:val="262626" w:themeColor="text1" w:themeTint="D9"/>
                <w:sz w:val="20"/>
                <w:szCs w:val="20"/>
              </w:rPr>
            </w:pPr>
          </w:p>
        </w:tc>
        <w:tc>
          <w:tcPr>
            <w:tcW w:w="3220" w:type="dxa"/>
            <w:shd w:val="clear" w:color="auto" w:fill="auto"/>
          </w:tcPr>
          <w:p w:rsidR="00126779" w:rsidRDefault="00126779" w:rsidP="00126779">
            <w:pPr>
              <w:rPr>
                <w:rFonts w:asciiTheme="minorHAnsi" w:hAnsiTheme="minorHAnsi" w:cstheme="minorHAnsi"/>
                <w:b/>
                <w:color w:val="262626" w:themeColor="text1" w:themeTint="D9"/>
                <w:sz w:val="20"/>
                <w:szCs w:val="20"/>
              </w:rPr>
            </w:pPr>
            <w:r w:rsidRPr="00317504">
              <w:rPr>
                <w:rFonts w:asciiTheme="minorHAnsi" w:hAnsiTheme="minorHAnsi" w:cstheme="minorHAnsi"/>
                <w:b/>
                <w:color w:val="262626" w:themeColor="text1" w:themeTint="D9"/>
                <w:sz w:val="20"/>
                <w:szCs w:val="20"/>
              </w:rPr>
              <w:t>50% Affordable Housing</w:t>
            </w:r>
          </w:p>
          <w:p w:rsidR="00126779" w:rsidRPr="00C14251" w:rsidRDefault="00126779" w:rsidP="00126779">
            <w:pPr>
              <w:rPr>
                <w:rFonts w:asciiTheme="minorHAnsi" w:hAnsiTheme="minorHAnsi" w:cstheme="minorHAnsi"/>
                <w:color w:val="262626" w:themeColor="text1" w:themeTint="D9"/>
                <w:sz w:val="20"/>
                <w:szCs w:val="20"/>
              </w:rPr>
            </w:pPr>
            <w:r w:rsidRPr="00C14251">
              <w:rPr>
                <w:rFonts w:asciiTheme="minorHAnsi" w:hAnsiTheme="minorHAnsi" w:cstheme="minorHAnsi"/>
                <w:color w:val="262626" w:themeColor="text1" w:themeTint="D9"/>
                <w:sz w:val="20"/>
                <w:szCs w:val="20"/>
              </w:rPr>
              <w:t xml:space="preserve">76 social </w:t>
            </w:r>
            <w:proofErr w:type="gramStart"/>
            <w:r w:rsidRPr="00C14251">
              <w:rPr>
                <w:rFonts w:asciiTheme="minorHAnsi" w:hAnsiTheme="minorHAnsi" w:cstheme="minorHAnsi"/>
                <w:color w:val="262626" w:themeColor="text1" w:themeTint="D9"/>
                <w:sz w:val="20"/>
                <w:szCs w:val="20"/>
              </w:rPr>
              <w:t>rent</w:t>
            </w:r>
            <w:proofErr w:type="gramEnd"/>
            <w:r w:rsidRPr="00C14251">
              <w:rPr>
                <w:rFonts w:asciiTheme="minorHAnsi" w:hAnsiTheme="minorHAnsi" w:cstheme="minorHAnsi"/>
                <w:color w:val="262626" w:themeColor="text1" w:themeTint="D9"/>
                <w:sz w:val="20"/>
                <w:szCs w:val="20"/>
              </w:rPr>
              <w:t xml:space="preserve">, 19 intermediate and 95 market homes. </w:t>
            </w:r>
          </w:p>
        </w:tc>
      </w:tr>
      <w:tr w:rsidR="00126779" w:rsidRPr="00351DD4" w:rsidTr="00126779">
        <w:trPr>
          <w:trHeight w:val="275"/>
        </w:trPr>
        <w:tc>
          <w:tcPr>
            <w:tcW w:w="1526" w:type="dxa"/>
            <w:shd w:val="clear" w:color="auto" w:fill="FFFFFF" w:themeFill="background1"/>
          </w:tcPr>
          <w:p w:rsidR="00126779" w:rsidRPr="00317504" w:rsidRDefault="00126779" w:rsidP="00126779">
            <w:pPr>
              <w:rPr>
                <w:color w:val="000000"/>
                <w:sz w:val="20"/>
                <w:szCs w:val="20"/>
              </w:rPr>
            </w:pPr>
            <w:r w:rsidRPr="00317504">
              <w:rPr>
                <w:color w:val="000000"/>
                <w:sz w:val="20"/>
                <w:szCs w:val="20"/>
              </w:rPr>
              <w:t>16/01225/FUL</w:t>
            </w:r>
          </w:p>
          <w:p w:rsidR="00126779" w:rsidRPr="00317504" w:rsidRDefault="00126779" w:rsidP="00126779">
            <w:pPr>
              <w:rPr>
                <w:rFonts w:asciiTheme="minorHAnsi" w:hAnsiTheme="minorHAnsi" w:cstheme="minorHAnsi"/>
                <w:color w:val="262626" w:themeColor="text1" w:themeTint="D9"/>
                <w:sz w:val="20"/>
                <w:szCs w:val="20"/>
              </w:rPr>
            </w:pPr>
          </w:p>
        </w:tc>
        <w:tc>
          <w:tcPr>
            <w:tcW w:w="1417" w:type="dxa"/>
            <w:shd w:val="clear" w:color="auto" w:fill="FFFFFF" w:themeFill="background1"/>
          </w:tcPr>
          <w:p w:rsidR="00126779" w:rsidRPr="00317504" w:rsidRDefault="00126779" w:rsidP="00126779">
            <w:pPr>
              <w:rPr>
                <w:color w:val="000000"/>
                <w:sz w:val="20"/>
                <w:szCs w:val="20"/>
              </w:rPr>
            </w:pPr>
            <w:r w:rsidRPr="00317504">
              <w:rPr>
                <w:color w:val="000000"/>
                <w:sz w:val="20"/>
                <w:szCs w:val="20"/>
              </w:rPr>
              <w:t xml:space="preserve">Temple </w:t>
            </w:r>
            <w:proofErr w:type="spellStart"/>
            <w:r w:rsidRPr="00317504">
              <w:rPr>
                <w:color w:val="000000"/>
                <w:sz w:val="20"/>
                <w:szCs w:val="20"/>
              </w:rPr>
              <w:t>Cowley</w:t>
            </w:r>
            <w:proofErr w:type="spellEnd"/>
            <w:r w:rsidRPr="00317504">
              <w:rPr>
                <w:color w:val="000000"/>
                <w:sz w:val="20"/>
                <w:szCs w:val="20"/>
              </w:rPr>
              <w:t xml:space="preserve"> Pools</w:t>
            </w:r>
            <w:r w:rsidRPr="00317504">
              <w:rPr>
                <w:color w:val="000000"/>
                <w:sz w:val="20"/>
                <w:szCs w:val="20"/>
              </w:rPr>
              <w:br/>
              <w:t>Temple Road</w:t>
            </w:r>
            <w:r w:rsidRPr="00317504">
              <w:rPr>
                <w:color w:val="000000"/>
                <w:sz w:val="20"/>
                <w:szCs w:val="20"/>
              </w:rPr>
              <w:br/>
              <w:t>Oxford</w:t>
            </w:r>
            <w:r w:rsidRPr="00317504">
              <w:rPr>
                <w:color w:val="000000"/>
                <w:sz w:val="20"/>
                <w:szCs w:val="20"/>
              </w:rPr>
              <w:br/>
              <w:t>Oxfordshire</w:t>
            </w:r>
            <w:r w:rsidRPr="00317504">
              <w:rPr>
                <w:color w:val="000000"/>
                <w:sz w:val="20"/>
                <w:szCs w:val="20"/>
              </w:rPr>
              <w:br/>
              <w:t>OX4 2EZ</w:t>
            </w:r>
          </w:p>
          <w:p w:rsidR="00126779" w:rsidRPr="00317504" w:rsidRDefault="00126779" w:rsidP="00126779">
            <w:pPr>
              <w:rPr>
                <w:rFonts w:asciiTheme="minorHAnsi" w:hAnsiTheme="minorHAnsi" w:cstheme="minorHAnsi"/>
                <w:color w:val="262626" w:themeColor="text1" w:themeTint="D9"/>
                <w:sz w:val="20"/>
                <w:szCs w:val="20"/>
              </w:rPr>
            </w:pPr>
          </w:p>
        </w:tc>
        <w:tc>
          <w:tcPr>
            <w:tcW w:w="3079" w:type="dxa"/>
            <w:shd w:val="clear" w:color="auto" w:fill="FFFFFF" w:themeFill="background1"/>
          </w:tcPr>
          <w:p w:rsidR="00126779" w:rsidRPr="00317504" w:rsidRDefault="00126779" w:rsidP="00126779">
            <w:pPr>
              <w:rPr>
                <w:color w:val="000000"/>
                <w:sz w:val="20"/>
                <w:szCs w:val="20"/>
              </w:rPr>
            </w:pPr>
            <w:r w:rsidRPr="00317504">
              <w:rPr>
                <w:color w:val="000000"/>
                <w:sz w:val="20"/>
                <w:szCs w:val="20"/>
              </w:rPr>
              <w:t>Erection of 48 dwellings with associated car parking, landscaping, open space and access. (Amended plans for Block 'C' only, additional information relating to Archaeology and Drainage).</w:t>
            </w:r>
          </w:p>
          <w:p w:rsidR="00126779" w:rsidRPr="00317504" w:rsidRDefault="00126779" w:rsidP="00126779">
            <w:pPr>
              <w:rPr>
                <w:rFonts w:asciiTheme="minorHAnsi" w:hAnsiTheme="minorHAnsi" w:cstheme="minorHAnsi"/>
                <w:color w:val="262626" w:themeColor="text1" w:themeTint="D9"/>
                <w:sz w:val="20"/>
                <w:szCs w:val="20"/>
              </w:rPr>
            </w:pPr>
          </w:p>
        </w:tc>
        <w:tc>
          <w:tcPr>
            <w:tcW w:w="3220" w:type="dxa"/>
            <w:shd w:val="clear" w:color="auto" w:fill="auto"/>
          </w:tcPr>
          <w:p w:rsidR="00126779" w:rsidRDefault="00126779" w:rsidP="00126779">
            <w:pPr>
              <w:rPr>
                <w:rFonts w:asciiTheme="minorHAnsi" w:hAnsiTheme="minorHAnsi" w:cstheme="minorHAnsi"/>
                <w:b/>
                <w:color w:val="262626" w:themeColor="text1" w:themeTint="D9"/>
                <w:sz w:val="20"/>
                <w:szCs w:val="20"/>
              </w:rPr>
            </w:pPr>
            <w:r w:rsidRPr="00317504">
              <w:rPr>
                <w:rFonts w:asciiTheme="minorHAnsi" w:hAnsiTheme="minorHAnsi" w:cstheme="minorHAnsi"/>
                <w:b/>
                <w:color w:val="262626" w:themeColor="text1" w:themeTint="D9"/>
                <w:sz w:val="20"/>
                <w:szCs w:val="20"/>
              </w:rPr>
              <w:t>100% Affordable Housing</w:t>
            </w:r>
          </w:p>
          <w:p w:rsidR="00126779" w:rsidRPr="00C14251" w:rsidRDefault="00126779" w:rsidP="00126779">
            <w:pPr>
              <w:rPr>
                <w:rFonts w:asciiTheme="minorHAnsi" w:hAnsiTheme="minorHAnsi" w:cstheme="minorHAnsi"/>
                <w:color w:val="262626" w:themeColor="text1" w:themeTint="D9"/>
                <w:sz w:val="20"/>
                <w:szCs w:val="20"/>
              </w:rPr>
            </w:pPr>
            <w:r w:rsidRPr="00C14251">
              <w:rPr>
                <w:rFonts w:asciiTheme="minorHAnsi" w:hAnsiTheme="minorHAnsi" w:cstheme="minorHAnsi"/>
                <w:color w:val="262626" w:themeColor="text1" w:themeTint="D9"/>
                <w:sz w:val="20"/>
                <w:szCs w:val="20"/>
              </w:rPr>
              <w:t>19 social rent and 29 shared ownership</w:t>
            </w:r>
            <w:r>
              <w:rPr>
                <w:rFonts w:asciiTheme="minorHAnsi" w:hAnsiTheme="minorHAnsi" w:cstheme="minorHAnsi"/>
                <w:color w:val="262626" w:themeColor="text1" w:themeTint="D9"/>
                <w:sz w:val="20"/>
                <w:szCs w:val="20"/>
              </w:rPr>
              <w:t xml:space="preserve"> homes.</w:t>
            </w:r>
          </w:p>
          <w:p w:rsidR="00126779" w:rsidRPr="00317504" w:rsidRDefault="00126779" w:rsidP="00126779">
            <w:pPr>
              <w:rPr>
                <w:rFonts w:asciiTheme="minorHAnsi" w:hAnsiTheme="minorHAnsi" w:cstheme="minorHAnsi"/>
                <w:b/>
                <w:color w:val="262626" w:themeColor="text1" w:themeTint="D9"/>
                <w:sz w:val="20"/>
                <w:szCs w:val="20"/>
              </w:rPr>
            </w:pPr>
          </w:p>
        </w:tc>
      </w:tr>
      <w:tr w:rsidR="00126779" w:rsidRPr="00351DD4" w:rsidTr="00126779">
        <w:trPr>
          <w:trHeight w:val="283"/>
        </w:trPr>
        <w:tc>
          <w:tcPr>
            <w:tcW w:w="1526" w:type="dxa"/>
            <w:shd w:val="clear" w:color="auto" w:fill="D9D9D9" w:themeFill="background1" w:themeFillShade="D9"/>
          </w:tcPr>
          <w:p w:rsidR="00126779" w:rsidRPr="008B732B" w:rsidRDefault="00126779" w:rsidP="00126779">
            <w:pPr>
              <w:rPr>
                <w:rFonts w:asciiTheme="minorHAnsi" w:hAnsiTheme="minorHAnsi" w:cstheme="minorHAnsi"/>
                <w:color w:val="262626" w:themeColor="text1" w:themeTint="D9"/>
                <w:sz w:val="20"/>
                <w:szCs w:val="20"/>
              </w:rPr>
            </w:pPr>
            <w:r w:rsidRPr="008B732B">
              <w:rPr>
                <w:rFonts w:asciiTheme="minorHAnsi" w:hAnsiTheme="minorHAnsi" w:cstheme="minorHAnsi"/>
                <w:color w:val="262626" w:themeColor="text1" w:themeTint="D9"/>
                <w:sz w:val="20"/>
                <w:szCs w:val="20"/>
              </w:rPr>
              <w:t>17/02969/B56</w:t>
            </w:r>
          </w:p>
        </w:tc>
        <w:tc>
          <w:tcPr>
            <w:tcW w:w="1417" w:type="dxa"/>
            <w:shd w:val="clear" w:color="auto" w:fill="D9D9D9" w:themeFill="background1" w:themeFillShade="D9"/>
          </w:tcPr>
          <w:p w:rsidR="00126779" w:rsidRPr="008B732B" w:rsidRDefault="00126779" w:rsidP="00126779">
            <w:pPr>
              <w:rPr>
                <w:rFonts w:asciiTheme="minorHAnsi" w:hAnsiTheme="minorHAnsi" w:cstheme="minorHAnsi"/>
                <w:color w:val="262626" w:themeColor="text1" w:themeTint="D9"/>
                <w:sz w:val="20"/>
                <w:szCs w:val="20"/>
              </w:rPr>
            </w:pPr>
            <w:r w:rsidRPr="008B732B">
              <w:rPr>
                <w:rFonts w:asciiTheme="minorHAnsi" w:hAnsiTheme="minorHAnsi" w:cstheme="minorHAnsi"/>
                <w:color w:val="262626" w:themeColor="text1" w:themeTint="D9"/>
                <w:sz w:val="20"/>
                <w:szCs w:val="20"/>
              </w:rPr>
              <w:t>Nielsen House</w:t>
            </w:r>
          </w:p>
          <w:p w:rsidR="00126779" w:rsidRPr="008B732B" w:rsidRDefault="00126779" w:rsidP="00126779">
            <w:pPr>
              <w:rPr>
                <w:rFonts w:asciiTheme="minorHAnsi" w:hAnsiTheme="minorHAnsi" w:cstheme="minorHAnsi"/>
                <w:color w:val="262626" w:themeColor="text1" w:themeTint="D9"/>
                <w:sz w:val="20"/>
                <w:szCs w:val="20"/>
              </w:rPr>
            </w:pPr>
            <w:r w:rsidRPr="008B732B">
              <w:rPr>
                <w:rFonts w:asciiTheme="minorHAnsi" w:hAnsiTheme="minorHAnsi" w:cstheme="minorHAnsi"/>
                <w:color w:val="262626" w:themeColor="text1" w:themeTint="D9"/>
                <w:sz w:val="20"/>
                <w:szCs w:val="20"/>
              </w:rPr>
              <w:cr/>
              <w:t>London Road</w:t>
            </w:r>
          </w:p>
        </w:tc>
        <w:tc>
          <w:tcPr>
            <w:tcW w:w="3079" w:type="dxa"/>
            <w:shd w:val="clear" w:color="auto" w:fill="D9D9D9" w:themeFill="background1" w:themeFillShade="D9"/>
          </w:tcPr>
          <w:p w:rsidR="00126779" w:rsidRPr="008B732B" w:rsidRDefault="00126779" w:rsidP="00126779">
            <w:pPr>
              <w:rPr>
                <w:rFonts w:asciiTheme="minorHAnsi" w:hAnsiTheme="minorHAnsi" w:cstheme="minorHAnsi"/>
                <w:color w:val="262626" w:themeColor="text1" w:themeTint="D9"/>
                <w:sz w:val="20"/>
                <w:szCs w:val="20"/>
              </w:rPr>
            </w:pPr>
            <w:r w:rsidRPr="008B732B">
              <w:rPr>
                <w:color w:val="000000"/>
                <w:sz w:val="20"/>
                <w:szCs w:val="20"/>
              </w:rPr>
              <w:t xml:space="preserve">Change of use of Nielsen House and annex from office (Use Class </w:t>
            </w:r>
            <w:proofErr w:type="gramStart"/>
            <w:r w:rsidRPr="008B732B">
              <w:rPr>
                <w:color w:val="000000"/>
                <w:sz w:val="20"/>
                <w:szCs w:val="20"/>
              </w:rPr>
              <w:t>B1(</w:t>
            </w:r>
            <w:proofErr w:type="gramEnd"/>
            <w:r w:rsidRPr="008B732B">
              <w:rPr>
                <w:color w:val="000000"/>
                <w:sz w:val="20"/>
                <w:szCs w:val="20"/>
              </w:rPr>
              <w:t xml:space="preserve">a)) to residential (Use Class C3) to provide 114 x 1-bed flats and 20 x 2-bed flats. </w:t>
            </w:r>
          </w:p>
          <w:p w:rsidR="00126779" w:rsidRPr="008B732B" w:rsidRDefault="00126779" w:rsidP="00126779">
            <w:pPr>
              <w:rPr>
                <w:rFonts w:asciiTheme="minorHAnsi" w:hAnsiTheme="minorHAnsi" w:cstheme="minorHAnsi"/>
                <w:color w:val="262626" w:themeColor="text1" w:themeTint="D9"/>
                <w:sz w:val="20"/>
                <w:szCs w:val="20"/>
              </w:rPr>
            </w:pPr>
          </w:p>
        </w:tc>
        <w:tc>
          <w:tcPr>
            <w:tcW w:w="3220" w:type="dxa"/>
            <w:shd w:val="clear" w:color="auto" w:fill="D9D9D9" w:themeFill="background1" w:themeFillShade="D9"/>
          </w:tcPr>
          <w:p w:rsidR="00126779" w:rsidRPr="008B732B" w:rsidRDefault="00126779" w:rsidP="00126779">
            <w:pPr>
              <w:rPr>
                <w:rFonts w:asciiTheme="minorHAnsi" w:hAnsiTheme="minorHAnsi" w:cstheme="minorHAnsi"/>
                <w:b/>
                <w:color w:val="262626" w:themeColor="text1" w:themeTint="D9"/>
                <w:sz w:val="20"/>
                <w:szCs w:val="20"/>
              </w:rPr>
            </w:pPr>
            <w:r w:rsidRPr="008B732B">
              <w:rPr>
                <w:rFonts w:asciiTheme="minorHAnsi" w:hAnsiTheme="minorHAnsi" w:cstheme="minorHAnsi"/>
                <w:b/>
                <w:color w:val="262626" w:themeColor="text1" w:themeTint="D9"/>
                <w:sz w:val="20"/>
                <w:szCs w:val="20"/>
              </w:rPr>
              <w:t>0% Affordable Housing</w:t>
            </w:r>
          </w:p>
          <w:p w:rsidR="00126779" w:rsidRPr="008B732B" w:rsidRDefault="00126779" w:rsidP="00126779">
            <w:pPr>
              <w:rPr>
                <w:rFonts w:asciiTheme="minorHAnsi" w:hAnsiTheme="minorHAnsi" w:cstheme="minorHAnsi"/>
                <w:color w:val="262626" w:themeColor="text1" w:themeTint="D9"/>
                <w:sz w:val="20"/>
                <w:szCs w:val="20"/>
              </w:rPr>
            </w:pPr>
            <w:r w:rsidRPr="008B732B">
              <w:rPr>
                <w:rFonts w:asciiTheme="minorHAnsi" w:hAnsiTheme="minorHAnsi" w:cstheme="minorHAnsi"/>
                <w:color w:val="262626" w:themeColor="text1" w:themeTint="D9"/>
                <w:sz w:val="20"/>
                <w:szCs w:val="20"/>
              </w:rPr>
              <w:t>Prior approval application. The City Council was therefore unable to apply Policy HP3.</w:t>
            </w:r>
          </w:p>
        </w:tc>
      </w:tr>
    </w:tbl>
    <w:p w:rsidR="00126779" w:rsidRDefault="00126779" w:rsidP="00126779">
      <w:pPr>
        <w:autoSpaceDE w:val="0"/>
        <w:autoSpaceDN w:val="0"/>
        <w:adjustRightInd w:val="0"/>
        <w:spacing w:line="276" w:lineRule="auto"/>
        <w:ind w:right="-45"/>
        <w:jc w:val="center"/>
        <w:rPr>
          <w:rFonts w:eastAsia="Calibri" w:cs="Calibri"/>
          <w:color w:val="000000"/>
          <w:sz w:val="20"/>
          <w:szCs w:val="22"/>
        </w:rPr>
      </w:pPr>
      <w:r w:rsidRPr="00351DD4">
        <w:rPr>
          <w:rFonts w:eastAsia="Calibri" w:cs="Calibri"/>
          <w:b/>
          <w:color w:val="000000"/>
          <w:sz w:val="20"/>
          <w:szCs w:val="20"/>
        </w:rPr>
        <w:t xml:space="preserve">Table 12: </w:t>
      </w:r>
      <w:r w:rsidRPr="00351DD4">
        <w:rPr>
          <w:sz w:val="20"/>
          <w:szCs w:val="20"/>
        </w:rPr>
        <w:t>Proportion of affordable housing where there is a policy requirement</w:t>
      </w:r>
      <w:r w:rsidRPr="00351DD4">
        <w:rPr>
          <w:rFonts w:eastAsia="Calibri" w:cs="Calibri"/>
          <w:color w:val="000000"/>
          <w:sz w:val="20"/>
          <w:szCs w:val="22"/>
        </w:rPr>
        <w:t xml:space="preserve"> (permissions) 201</w:t>
      </w:r>
      <w:r>
        <w:rPr>
          <w:rFonts w:eastAsia="Calibri" w:cs="Calibri"/>
          <w:color w:val="000000"/>
          <w:sz w:val="20"/>
          <w:szCs w:val="22"/>
        </w:rPr>
        <w:t>7</w:t>
      </w:r>
      <w:r w:rsidRPr="00351DD4">
        <w:rPr>
          <w:rFonts w:eastAsia="Calibri" w:cs="Calibri"/>
          <w:color w:val="000000"/>
          <w:sz w:val="20"/>
          <w:szCs w:val="22"/>
        </w:rPr>
        <w:t>/1</w:t>
      </w:r>
      <w:r>
        <w:rPr>
          <w:rFonts w:eastAsia="Calibri" w:cs="Calibri"/>
          <w:color w:val="000000"/>
          <w:sz w:val="20"/>
          <w:szCs w:val="22"/>
        </w:rPr>
        <w:t>8</w:t>
      </w:r>
    </w:p>
    <w:p w:rsidR="00126779" w:rsidRPr="00351DD4" w:rsidRDefault="00126779" w:rsidP="00126779">
      <w:pPr>
        <w:autoSpaceDE w:val="0"/>
        <w:autoSpaceDN w:val="0"/>
        <w:adjustRightInd w:val="0"/>
        <w:spacing w:line="276" w:lineRule="auto"/>
        <w:ind w:right="-45"/>
        <w:jc w:val="center"/>
        <w:rPr>
          <w:rFonts w:eastAsia="Calibri" w:cs="Calibri"/>
          <w:color w:val="000000"/>
          <w:sz w:val="20"/>
          <w:szCs w:val="22"/>
        </w:rPr>
      </w:pPr>
    </w:p>
    <w:p w:rsidR="00126779"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DC4790">
        <w:rPr>
          <w:rFonts w:eastAsia="Calibri" w:cs="Calibri"/>
          <w:szCs w:val="22"/>
        </w:rPr>
        <w:lastRenderedPageBreak/>
        <w:t xml:space="preserve">Table 12 shows that both qualifying developments met the 50% requirement for on-site provision of affordable housing with one development (Temple </w:t>
      </w:r>
      <w:proofErr w:type="spellStart"/>
      <w:r w:rsidRPr="00DC4790">
        <w:rPr>
          <w:rFonts w:eastAsia="Calibri" w:cs="Calibri"/>
          <w:szCs w:val="22"/>
        </w:rPr>
        <w:t>Cowley</w:t>
      </w:r>
      <w:proofErr w:type="spellEnd"/>
      <w:r w:rsidRPr="00DC4790">
        <w:rPr>
          <w:rFonts w:eastAsia="Calibri" w:cs="Calibri"/>
          <w:szCs w:val="22"/>
        </w:rPr>
        <w:t xml:space="preserve"> Pool) providing 100% affordable provision. </w:t>
      </w:r>
    </w:p>
    <w:p w:rsidR="00126779" w:rsidRPr="00DC4790"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DC4790">
        <w:rPr>
          <w:rFonts w:eastAsia="Calibri" w:cs="Calibri"/>
          <w:szCs w:val="22"/>
        </w:rPr>
        <w:t>In 201</w:t>
      </w:r>
      <w:r>
        <w:rPr>
          <w:rFonts w:eastAsia="Calibri" w:cs="Calibri"/>
          <w:szCs w:val="22"/>
        </w:rPr>
        <w:t>7</w:t>
      </w:r>
      <w:r w:rsidRPr="00DC4790">
        <w:rPr>
          <w:rFonts w:eastAsia="Calibri" w:cs="Calibri"/>
          <w:szCs w:val="22"/>
        </w:rPr>
        <w:t>/1</w:t>
      </w:r>
      <w:r>
        <w:rPr>
          <w:rFonts w:eastAsia="Calibri" w:cs="Calibri"/>
          <w:szCs w:val="22"/>
        </w:rPr>
        <w:t>8</w:t>
      </w:r>
      <w:r w:rsidRPr="00DC4790">
        <w:rPr>
          <w:rFonts w:eastAsia="Calibri" w:cs="Calibri"/>
          <w:szCs w:val="22"/>
        </w:rPr>
        <w:t xml:space="preserve"> prior approval was also granted for the change of use of Neilson House from B1a office to C3 residential which would provide a total of </w:t>
      </w:r>
      <w:r>
        <w:rPr>
          <w:rFonts w:eastAsia="Calibri" w:cs="Calibri"/>
          <w:szCs w:val="22"/>
        </w:rPr>
        <w:t>134</w:t>
      </w:r>
      <w:r w:rsidRPr="00DC4790">
        <w:rPr>
          <w:rFonts w:eastAsia="Calibri" w:cs="Calibri"/>
          <w:szCs w:val="22"/>
        </w:rPr>
        <w:t xml:space="preserve"> homes. However, whilst developers must seek prior approval from the City Council to undertake the change of use, the only issues that can be considered are flooding, contamination, highways and transport, and noise. This means that this application was not assessed against the full range of policies in Oxford’s Local Plan and that compliance with Policy HP3 could not be secured in this permission. Under normal circumstances, </w:t>
      </w:r>
      <w:r>
        <w:rPr>
          <w:rFonts w:eastAsia="Calibri" w:cs="Calibri"/>
          <w:szCs w:val="22"/>
        </w:rPr>
        <w:t>67</w:t>
      </w:r>
      <w:r w:rsidRPr="00DC4790">
        <w:rPr>
          <w:rFonts w:eastAsia="Calibri" w:cs="Calibri"/>
          <w:szCs w:val="22"/>
        </w:rPr>
        <w:t xml:space="preserve"> affordable homes would have been sought in this scheme. </w:t>
      </w:r>
    </w:p>
    <w:bookmarkStart w:id="17" w:name="_Toc529178347"/>
    <w:p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76672" behindDoc="1" locked="0" layoutInCell="1" allowOverlap="1" wp14:anchorId="52DD593D" wp14:editId="10B55DCB">
                <wp:simplePos x="0" y="0"/>
                <wp:positionH relativeFrom="column">
                  <wp:posOffset>-63795</wp:posOffset>
                </wp:positionH>
                <wp:positionV relativeFrom="paragraph">
                  <wp:posOffset>-24530</wp:posOffset>
                </wp:positionV>
                <wp:extent cx="5875655" cy="818707"/>
                <wp:effectExtent l="0" t="0" r="0" b="635"/>
                <wp:wrapNone/>
                <wp:docPr id="250" name="Rectangle 250"/>
                <wp:cNvGraphicFramePr/>
                <a:graphic xmlns:a="http://schemas.openxmlformats.org/drawingml/2006/main">
                  <a:graphicData uri="http://schemas.microsoft.com/office/word/2010/wordprocessingShape">
                    <wps:wsp>
                      <wps:cNvSpPr/>
                      <wps:spPr>
                        <a:xfrm>
                          <a:off x="0" y="0"/>
                          <a:ext cx="5875655" cy="81870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64A1B3" id="Rectangle 250" o:spid="_x0000_s1026" style="position:absolute;margin-left:-5pt;margin-top:-1.95pt;width:462.65pt;height:6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" fillcolor="#fcd5b5" stroked="f" strokeweight="2pt"/>
            </w:pict>
          </mc:Fallback>
        </mc:AlternateContent>
      </w:r>
      <w:r w:rsidRPr="00351DD4">
        <w:rPr>
          <w:rFonts w:asciiTheme="minorHAnsi" w:hAnsiTheme="minorHAnsi"/>
          <w:b/>
          <w:lang w:eastAsia="en-GB"/>
        </w:rPr>
        <w:t>Indicator 11: FINANCIAL CONTRIBUTIONS TOWARDS AFFORDABLE HOUSING</w:t>
      </w:r>
      <w:bookmarkEnd w:id="17"/>
      <w:r w:rsidRPr="00351DD4">
        <w:rPr>
          <w:rFonts w:asciiTheme="minorHAnsi" w:hAnsiTheme="minorHAnsi"/>
          <w:b/>
          <w:lang w:eastAsia="en-GB"/>
        </w:rPr>
        <w:t xml:space="preserve"> </w:t>
      </w:r>
    </w:p>
    <w:p w:rsidR="00126779" w:rsidRPr="00351DD4" w:rsidRDefault="00126779" w:rsidP="00126779">
      <w:pPr>
        <w:rPr>
          <w:sz w:val="10"/>
          <w:szCs w:val="10"/>
          <w:lang w:eastAsia="en-GB"/>
        </w:rPr>
      </w:pPr>
    </w:p>
    <w:p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No set target. AMR to include a report on financial contributions collected towards affordable housing provision from residential, student accommodation and commercial developments   </w:t>
      </w:r>
      <w:r w:rsidRPr="00351DD4">
        <w:rPr>
          <w:rFonts w:eastAsia="Calibri" w:cs="Calibri"/>
          <w:color w:val="984806" w:themeColor="accent6" w:themeShade="80"/>
          <w:sz w:val="20"/>
          <w:szCs w:val="22"/>
        </w:rPr>
        <w:t>(Sites and Housing Plan Policies HP3, HP4 and HP6)</w:t>
      </w:r>
    </w:p>
    <w:p w:rsidR="00126779" w:rsidRPr="00351DD4" w:rsidRDefault="00126779" w:rsidP="00126779">
      <w:pPr>
        <w:autoSpaceDE w:val="0"/>
        <w:autoSpaceDN w:val="0"/>
        <w:adjustRightInd w:val="0"/>
        <w:spacing w:line="276" w:lineRule="auto"/>
        <w:ind w:right="-45"/>
        <w:jc w:val="both"/>
        <w:rPr>
          <w:rFonts w:eastAsia="Calibri" w:cs="Calibri"/>
          <w:b/>
          <w:szCs w:val="22"/>
        </w:rPr>
      </w:pP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szCs w:val="22"/>
        </w:rPr>
        <w:t xml:space="preserve">Oxford’s Local Plan policies require developers to make a financial contribution towards the provision of affordable housing in the city from smaller developments of 4-9 dwellings or from student accommodation and commercial developments. </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szCs w:val="22"/>
        </w:rPr>
      </w:pPr>
      <w:r w:rsidRPr="00351DD4">
        <w:rPr>
          <w:szCs w:val="22"/>
        </w:rPr>
        <w:t>On 28 November 2014 the Government made changes to the Planning Practice Guidance (PPG) which exempted developments of 10 or fewer dwellings from making financial contributions towards affordable housing provision. The City Council therefore temporarily suspended the application of Policy HP4 and stopped seeking financial contributions from developments of 10 or fewer dwellings. Affordable housing contribution requirements also began to be assessed on the basis of net additional units resulting from development (rather than the gross figure) in line with the changes to Government policy.</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szCs w:val="22"/>
        </w:rPr>
      </w:pPr>
      <w:r w:rsidRPr="00351DD4">
        <w:rPr>
          <w:szCs w:val="22"/>
        </w:rPr>
        <w:t>The City Council anticipated that the combined effect of these changes was likely to result in a significant reduction in financial contributions towards affordable housing, particularly given the proportion of smaller residential developments taking place in the city. The City Council therefore endorsed the West Berkshire District Council and Reading Borough Council legal challenge against these changes. On 31 July 2015 the High Court ruled in their favour, quashing the changes to the PPG. The City Council then reverted back to requiring full financial contributions for affordable housing in line with adopted Local Plan policies.</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szCs w:val="22"/>
        </w:rPr>
      </w:pPr>
      <w:r w:rsidRPr="00351DD4">
        <w:rPr>
          <w:szCs w:val="22"/>
        </w:rPr>
        <w:t>The Government subsequently appealed against the High Court decision. On the 11 May 2016 the Court of Appeal found in the Government’s favour and the changes to the PPG were reinstated. In making this determination, the Court of Appeal was clear that national policy is a material consideration to which great weight should be attached. However, the Court of Appeal also stated that whilst the policy is expressed in absolute terms, it must allow for exceptions. It was said in court, on behalf of the Secretary of State, that “</w:t>
      </w:r>
      <w:r w:rsidRPr="00351DD4">
        <w:rPr>
          <w:i/>
          <w:szCs w:val="22"/>
        </w:rPr>
        <w:t xml:space="preserve">In the determination of planning applications the effect of the new national policy is that although it would normally be inappropriate to require any affordable housing or social infrastructure contributions on sites below the thresholds stated, local circumstances may justify lower (or no) thresholds as an exception to the national policy. It would then be a matter for the decision-maker to decide </w:t>
      </w:r>
      <w:r w:rsidRPr="00351DD4">
        <w:rPr>
          <w:i/>
          <w:szCs w:val="22"/>
        </w:rPr>
        <w:lastRenderedPageBreak/>
        <w:t>how much weight to give to lower thresholds justified by local circumstances as compared with the new national policy</w:t>
      </w:r>
      <w:r w:rsidRPr="00351DD4">
        <w:rPr>
          <w:szCs w:val="22"/>
        </w:rPr>
        <w:t xml:space="preserve">.” </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szCs w:val="22"/>
        </w:rPr>
      </w:pPr>
      <w:r w:rsidRPr="00351DD4">
        <w:rPr>
          <w:szCs w:val="22"/>
        </w:rPr>
        <w:t xml:space="preserve">On the 25 July 2016 a </w:t>
      </w:r>
      <w:hyperlink r:id="rId20" w:history="1">
        <w:r w:rsidRPr="00351DD4">
          <w:rPr>
            <w:color w:val="0000FF"/>
            <w:szCs w:val="22"/>
            <w:u w:val="single"/>
          </w:rPr>
          <w:t>report</w:t>
        </w:r>
      </w:hyperlink>
      <w:r w:rsidRPr="00351DD4">
        <w:rPr>
          <w:szCs w:val="22"/>
        </w:rPr>
        <w:t xml:space="preserve"> was taken to a meeting of full Council, setting out the City Council’s response to the Court of Appeal decision. The report referenced the extreme nature of the local need for affordable housing and evidence showing that Oxford is the most unaffordable area of the country. The report also referenced Oxford’s reliance on smaller sites of fewer than 10 dwellings given the city’s highly constrained geographical area, with very few large housing sites available. Therefore whilst the Written Ministerial Statement is a material consideration in the determination of planning applications, on balance there is substantial evidence that local circumstances justify continuing to apply the lower thresholds set out in the adopted Local Plan for seeking developer contributions. This approach has been supported by Inspectors at appeals</w:t>
      </w:r>
      <w:r w:rsidRPr="00351DD4">
        <w:rPr>
          <w:szCs w:val="22"/>
          <w:vertAlign w:val="superscript"/>
        </w:rPr>
        <w:footnoteReference w:id="21"/>
      </w:r>
      <w:r w:rsidRPr="00351DD4">
        <w:rPr>
          <w:szCs w:val="22"/>
        </w:rPr>
        <w:t>.</w:t>
      </w:r>
    </w:p>
    <w:p w:rsidR="00126779" w:rsidRPr="00764EC2" w:rsidRDefault="00126779" w:rsidP="00126779">
      <w:pPr>
        <w:numPr>
          <w:ilvl w:val="1"/>
          <w:numId w:val="8"/>
        </w:numPr>
        <w:autoSpaceDE w:val="0"/>
        <w:autoSpaceDN w:val="0"/>
        <w:adjustRightInd w:val="0"/>
        <w:spacing w:after="200" w:line="276" w:lineRule="auto"/>
        <w:ind w:left="567" w:right="-45" w:hanging="567"/>
        <w:jc w:val="both"/>
        <w:rPr>
          <w:szCs w:val="22"/>
        </w:rPr>
      </w:pPr>
      <w:r w:rsidRPr="00351DD4">
        <w:rPr>
          <w:szCs w:val="22"/>
        </w:rPr>
        <w:t xml:space="preserve">In 2013, the Government also made changes to permitted development rights which allow the conversion of B1a office space to C3 residential dwellings without Oxford’s full range of Local Plan policies being applied. This means that financial contributions towards affordable housing cannot be required from these developments. (See Indicator 12 for further information on </w:t>
      </w:r>
      <w:r w:rsidRPr="00764EC2">
        <w:rPr>
          <w:szCs w:val="22"/>
        </w:rPr>
        <w:t>these applications.)</w:t>
      </w:r>
    </w:p>
    <w:p w:rsidR="00126779" w:rsidRPr="00764EC2" w:rsidRDefault="00126779" w:rsidP="00126779">
      <w:pPr>
        <w:numPr>
          <w:ilvl w:val="1"/>
          <w:numId w:val="8"/>
        </w:numPr>
        <w:autoSpaceDE w:val="0"/>
        <w:autoSpaceDN w:val="0"/>
        <w:adjustRightInd w:val="0"/>
        <w:spacing w:after="200" w:line="276" w:lineRule="auto"/>
        <w:ind w:left="567" w:right="-46" w:hanging="567"/>
        <w:jc w:val="both"/>
        <w:rPr>
          <w:szCs w:val="22"/>
        </w:rPr>
      </w:pPr>
      <w:r w:rsidRPr="00764EC2">
        <w:rPr>
          <w:szCs w:val="22"/>
        </w:rPr>
        <w:t xml:space="preserve">In the 2017/18 monitoring year the City Council received £1,717,018.34 through s106 agreements towards affordable housing provision (Table </w:t>
      </w:r>
      <w:r w:rsidRPr="00764EC2">
        <w:rPr>
          <w:rFonts w:eastAsia="Calibri" w:cs="Calibri"/>
          <w:szCs w:val="22"/>
        </w:rPr>
        <w:t>13</w:t>
      </w:r>
      <w:r w:rsidRPr="00764EC2">
        <w:rPr>
          <w:szCs w:val="22"/>
        </w:rPr>
        <w:t>). This money will be used to support the delivery of affordable housing elsewhere. The programme for s10</w:t>
      </w:r>
      <w:r w:rsidR="00764EC2" w:rsidRPr="00764EC2">
        <w:rPr>
          <w:szCs w:val="22"/>
        </w:rPr>
        <w:t>6 spending is set out on page 72</w:t>
      </w:r>
      <w:r w:rsidRPr="00764EC2">
        <w:rPr>
          <w:szCs w:val="22"/>
        </w:rPr>
        <w:t>.</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660"/>
        <w:gridCol w:w="1767"/>
        <w:gridCol w:w="3395"/>
        <w:gridCol w:w="2420"/>
      </w:tblGrid>
      <w:tr w:rsidR="00126779" w:rsidRPr="00351DD4" w:rsidTr="00126779">
        <w:tc>
          <w:tcPr>
            <w:tcW w:w="1660"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Application</w:t>
            </w:r>
          </w:p>
        </w:tc>
        <w:tc>
          <w:tcPr>
            <w:tcW w:w="1767"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Site</w:t>
            </w:r>
          </w:p>
        </w:tc>
        <w:tc>
          <w:tcPr>
            <w:tcW w:w="3395"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Qualifying Development</w:t>
            </w:r>
          </w:p>
        </w:tc>
        <w:tc>
          <w:tcPr>
            <w:tcW w:w="2420" w:type="dxa"/>
            <w:shd w:val="clear" w:color="auto" w:fill="FBD4B4" w:themeFill="accent6" w:themeFillTint="66"/>
          </w:tcPr>
          <w:p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Financial contribution towards affordable housing</w:t>
            </w:r>
          </w:p>
        </w:tc>
      </w:tr>
      <w:tr w:rsidR="00126779"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rsidR="00126779" w:rsidRPr="006831A1" w:rsidRDefault="00126779" w:rsidP="00126779">
            <w:pPr>
              <w:jc w:val="center"/>
              <w:rPr>
                <w:sz w:val="20"/>
                <w:szCs w:val="20"/>
              </w:rPr>
            </w:pPr>
            <w:r w:rsidRPr="006831A1">
              <w:rPr>
                <w:sz w:val="20"/>
                <w:szCs w:val="20"/>
              </w:rPr>
              <w:t>16/02687/FUL</w:t>
            </w:r>
          </w:p>
        </w:tc>
        <w:tc>
          <w:tcPr>
            <w:tcW w:w="1767" w:type="dxa"/>
            <w:hideMark/>
          </w:tcPr>
          <w:p w:rsidR="00126779" w:rsidRPr="006831A1" w:rsidRDefault="00126779" w:rsidP="00126779">
            <w:pPr>
              <w:jc w:val="center"/>
              <w:rPr>
                <w:sz w:val="20"/>
                <w:szCs w:val="20"/>
              </w:rPr>
            </w:pPr>
            <w:r w:rsidRPr="006831A1">
              <w:rPr>
                <w:sz w:val="20"/>
                <w:szCs w:val="20"/>
              </w:rPr>
              <w:t xml:space="preserve">265 - 279 </w:t>
            </w:r>
            <w:proofErr w:type="spellStart"/>
            <w:r w:rsidRPr="006831A1">
              <w:rPr>
                <w:sz w:val="20"/>
                <w:szCs w:val="20"/>
              </w:rPr>
              <w:t>Iffley</w:t>
            </w:r>
            <w:proofErr w:type="spellEnd"/>
            <w:r w:rsidRPr="006831A1">
              <w:rPr>
                <w:sz w:val="20"/>
                <w:szCs w:val="20"/>
              </w:rPr>
              <w:t xml:space="preserve"> Road And Garages Percy Street</w:t>
            </w:r>
          </w:p>
        </w:tc>
        <w:tc>
          <w:tcPr>
            <w:tcW w:w="3395" w:type="dxa"/>
            <w:hideMark/>
          </w:tcPr>
          <w:p w:rsidR="00126779" w:rsidRPr="006831A1" w:rsidRDefault="00126779" w:rsidP="00126779">
            <w:pPr>
              <w:rPr>
                <w:sz w:val="20"/>
                <w:szCs w:val="20"/>
              </w:rPr>
            </w:pPr>
            <w:r w:rsidRPr="006831A1">
              <w:rPr>
                <w:sz w:val="20"/>
                <w:szCs w:val="20"/>
              </w:rPr>
              <w:t>Re-development of the application site to include the demolition of existing buildings, erection of buildings to provide student accommodation (117 student rooms) and ancillary facilities, 11 x self-contained flats, a single storey garden room accommodating flexible space for use as student common room/teaching/lecturing space, 150sqm GIA for employment uses (Use Class B1), and associated landscaping and infrastructure.</w:t>
            </w:r>
          </w:p>
        </w:tc>
        <w:tc>
          <w:tcPr>
            <w:tcW w:w="2420" w:type="dxa"/>
            <w:hideMark/>
          </w:tcPr>
          <w:p w:rsidR="00126779" w:rsidRPr="006831A1" w:rsidRDefault="00126779" w:rsidP="00126779">
            <w:pPr>
              <w:jc w:val="center"/>
              <w:rPr>
                <w:sz w:val="20"/>
                <w:szCs w:val="20"/>
              </w:rPr>
            </w:pPr>
            <w:r w:rsidRPr="006831A1">
              <w:rPr>
                <w:sz w:val="20"/>
                <w:szCs w:val="20"/>
              </w:rPr>
              <w:t>£643,432.72</w:t>
            </w:r>
          </w:p>
        </w:tc>
      </w:tr>
      <w:tr w:rsidR="00126779"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rsidR="00126779" w:rsidRPr="006831A1" w:rsidRDefault="00126779" w:rsidP="00126779">
            <w:pPr>
              <w:jc w:val="center"/>
              <w:rPr>
                <w:sz w:val="20"/>
                <w:szCs w:val="20"/>
              </w:rPr>
            </w:pPr>
            <w:r w:rsidRPr="006831A1">
              <w:rPr>
                <w:sz w:val="20"/>
                <w:szCs w:val="20"/>
              </w:rPr>
              <w:t>15/02542/OUT 16/01973/FUL and 16/</w:t>
            </w:r>
            <w:r>
              <w:rPr>
                <w:sz w:val="20"/>
                <w:szCs w:val="20"/>
              </w:rPr>
              <w:t>0</w:t>
            </w:r>
            <w:r w:rsidRPr="006831A1">
              <w:rPr>
                <w:sz w:val="20"/>
                <w:szCs w:val="20"/>
              </w:rPr>
              <w:t>2406/FUL</w:t>
            </w:r>
          </w:p>
        </w:tc>
        <w:tc>
          <w:tcPr>
            <w:tcW w:w="1767" w:type="dxa"/>
            <w:hideMark/>
          </w:tcPr>
          <w:p w:rsidR="00126779" w:rsidRPr="006831A1" w:rsidRDefault="00126779" w:rsidP="00126779">
            <w:pPr>
              <w:jc w:val="center"/>
              <w:rPr>
                <w:sz w:val="20"/>
                <w:szCs w:val="20"/>
              </w:rPr>
            </w:pPr>
            <w:r w:rsidRPr="006831A1">
              <w:rPr>
                <w:sz w:val="20"/>
                <w:szCs w:val="20"/>
              </w:rPr>
              <w:t xml:space="preserve">Rivera House and Adams House, </w:t>
            </w:r>
            <w:proofErr w:type="spellStart"/>
            <w:r w:rsidRPr="006831A1">
              <w:rPr>
                <w:sz w:val="20"/>
                <w:szCs w:val="20"/>
              </w:rPr>
              <w:t>Relience</w:t>
            </w:r>
            <w:proofErr w:type="spellEnd"/>
            <w:r w:rsidRPr="006831A1">
              <w:rPr>
                <w:sz w:val="20"/>
                <w:szCs w:val="20"/>
              </w:rPr>
              <w:t xml:space="preserve"> Way</w:t>
            </w:r>
          </w:p>
        </w:tc>
        <w:tc>
          <w:tcPr>
            <w:tcW w:w="3395" w:type="dxa"/>
            <w:hideMark/>
          </w:tcPr>
          <w:p w:rsidR="00126779" w:rsidRPr="00881331" w:rsidRDefault="00126779" w:rsidP="00126779">
            <w:pPr>
              <w:rPr>
                <w:bCs/>
                <w:sz w:val="20"/>
                <w:szCs w:val="20"/>
              </w:rPr>
            </w:pPr>
            <w:r w:rsidRPr="00881331">
              <w:rPr>
                <w:bCs/>
                <w:sz w:val="20"/>
                <w:szCs w:val="20"/>
              </w:rPr>
              <w:t>Change of use of Canterbury House, Adams House and Rivera House from use as offices (falling within Use Class B1(a) of the 1987 Use Classes Order) to use as 48 student study rooms with ancillary facilities together with landscaping, disabled car parking, bin and cycle storage.</w:t>
            </w:r>
          </w:p>
          <w:p w:rsidR="00126779" w:rsidRPr="006831A1" w:rsidRDefault="00126779" w:rsidP="00126779">
            <w:pPr>
              <w:rPr>
                <w:b/>
                <w:bCs/>
                <w:sz w:val="20"/>
                <w:szCs w:val="20"/>
              </w:rPr>
            </w:pPr>
          </w:p>
        </w:tc>
        <w:tc>
          <w:tcPr>
            <w:tcW w:w="2420" w:type="dxa"/>
            <w:hideMark/>
          </w:tcPr>
          <w:p w:rsidR="00126779" w:rsidRPr="006831A1" w:rsidRDefault="00126779" w:rsidP="00126779">
            <w:pPr>
              <w:jc w:val="center"/>
              <w:rPr>
                <w:sz w:val="20"/>
                <w:szCs w:val="20"/>
              </w:rPr>
            </w:pPr>
            <w:r w:rsidRPr="006831A1">
              <w:rPr>
                <w:sz w:val="20"/>
                <w:szCs w:val="20"/>
              </w:rPr>
              <w:t>£267,199.80</w:t>
            </w:r>
          </w:p>
        </w:tc>
      </w:tr>
      <w:tr w:rsidR="00126779"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rsidR="00126779" w:rsidRPr="006831A1" w:rsidRDefault="00126779" w:rsidP="00126779">
            <w:pPr>
              <w:jc w:val="center"/>
              <w:rPr>
                <w:sz w:val="20"/>
                <w:szCs w:val="20"/>
              </w:rPr>
            </w:pPr>
            <w:r w:rsidRPr="006831A1">
              <w:rPr>
                <w:sz w:val="20"/>
                <w:szCs w:val="20"/>
              </w:rPr>
              <w:lastRenderedPageBreak/>
              <w:t>16/02689/FUL</w:t>
            </w:r>
          </w:p>
        </w:tc>
        <w:tc>
          <w:tcPr>
            <w:tcW w:w="1767" w:type="dxa"/>
            <w:hideMark/>
          </w:tcPr>
          <w:p w:rsidR="00126779" w:rsidRPr="006831A1" w:rsidRDefault="00126779" w:rsidP="00126779">
            <w:pPr>
              <w:jc w:val="center"/>
              <w:rPr>
                <w:sz w:val="20"/>
                <w:szCs w:val="20"/>
              </w:rPr>
            </w:pPr>
            <w:r w:rsidRPr="006831A1">
              <w:rPr>
                <w:sz w:val="20"/>
                <w:szCs w:val="20"/>
              </w:rPr>
              <w:t>Cooper Callas</w:t>
            </w:r>
          </w:p>
        </w:tc>
        <w:tc>
          <w:tcPr>
            <w:tcW w:w="3395" w:type="dxa"/>
            <w:hideMark/>
          </w:tcPr>
          <w:p w:rsidR="00126779" w:rsidRPr="006831A1" w:rsidRDefault="00126779" w:rsidP="00126779">
            <w:pPr>
              <w:rPr>
                <w:sz w:val="20"/>
                <w:szCs w:val="20"/>
              </w:rPr>
            </w:pPr>
            <w:r w:rsidRPr="006831A1">
              <w:rPr>
                <w:sz w:val="20"/>
                <w:szCs w:val="20"/>
              </w:rPr>
              <w:t>Demolition of existing building and construction of new hotel building (use class C1), with associated vehicle and cycle parking, landscaping, plant and engineering works.</w:t>
            </w:r>
          </w:p>
        </w:tc>
        <w:tc>
          <w:tcPr>
            <w:tcW w:w="2420" w:type="dxa"/>
            <w:hideMark/>
          </w:tcPr>
          <w:p w:rsidR="00126779" w:rsidRPr="006831A1" w:rsidRDefault="00126779" w:rsidP="00126779">
            <w:pPr>
              <w:jc w:val="center"/>
              <w:rPr>
                <w:sz w:val="20"/>
                <w:szCs w:val="20"/>
              </w:rPr>
            </w:pPr>
            <w:r w:rsidRPr="006831A1">
              <w:rPr>
                <w:sz w:val="20"/>
                <w:szCs w:val="20"/>
              </w:rPr>
              <w:t>£53,832.00</w:t>
            </w:r>
          </w:p>
        </w:tc>
      </w:tr>
      <w:tr w:rsidR="00126779"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rsidR="00126779" w:rsidRPr="006831A1" w:rsidRDefault="00126779" w:rsidP="00126779">
            <w:pPr>
              <w:rPr>
                <w:sz w:val="20"/>
                <w:szCs w:val="20"/>
              </w:rPr>
            </w:pPr>
            <w:r w:rsidRPr="006831A1">
              <w:rPr>
                <w:sz w:val="20"/>
                <w:szCs w:val="20"/>
              </w:rPr>
              <w:t>14/02650/FUL</w:t>
            </w:r>
          </w:p>
        </w:tc>
        <w:tc>
          <w:tcPr>
            <w:tcW w:w="1767" w:type="dxa"/>
            <w:hideMark/>
          </w:tcPr>
          <w:p w:rsidR="00126779" w:rsidRPr="006831A1" w:rsidRDefault="00126779" w:rsidP="00126779">
            <w:pPr>
              <w:rPr>
                <w:sz w:val="20"/>
                <w:szCs w:val="20"/>
              </w:rPr>
            </w:pPr>
            <w:r w:rsidRPr="006831A1">
              <w:rPr>
                <w:sz w:val="20"/>
                <w:szCs w:val="20"/>
              </w:rPr>
              <w:t>Former DHL site, Sandy Lane West</w:t>
            </w:r>
          </w:p>
        </w:tc>
        <w:tc>
          <w:tcPr>
            <w:tcW w:w="3395" w:type="dxa"/>
            <w:hideMark/>
          </w:tcPr>
          <w:p w:rsidR="00126779" w:rsidRPr="006831A1" w:rsidRDefault="00126779" w:rsidP="00126779">
            <w:pPr>
              <w:rPr>
                <w:sz w:val="20"/>
                <w:szCs w:val="20"/>
              </w:rPr>
            </w:pPr>
            <w:r w:rsidRPr="006831A1">
              <w:rPr>
                <w:sz w:val="20"/>
                <w:szCs w:val="20"/>
              </w:rPr>
              <w:t>Erection of nine industrial units for Class B1 (C) (Light Industrial), B2 (General Industrial) and B8 (Storage and Distribution) use and including 70 car parking spaces and 20 covered cycle parking spaces</w:t>
            </w:r>
          </w:p>
        </w:tc>
        <w:tc>
          <w:tcPr>
            <w:tcW w:w="2420" w:type="dxa"/>
            <w:hideMark/>
          </w:tcPr>
          <w:p w:rsidR="00126779" w:rsidRPr="006831A1" w:rsidRDefault="00126779" w:rsidP="00126779">
            <w:pPr>
              <w:jc w:val="center"/>
              <w:rPr>
                <w:sz w:val="20"/>
                <w:szCs w:val="20"/>
              </w:rPr>
            </w:pPr>
            <w:r w:rsidRPr="006831A1">
              <w:rPr>
                <w:sz w:val="20"/>
                <w:szCs w:val="20"/>
              </w:rPr>
              <w:t>£89,356.00</w:t>
            </w:r>
          </w:p>
        </w:tc>
      </w:tr>
      <w:tr w:rsidR="00126779"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rsidR="00126779" w:rsidRPr="006831A1" w:rsidRDefault="00126779" w:rsidP="00126779">
            <w:pPr>
              <w:rPr>
                <w:sz w:val="20"/>
                <w:szCs w:val="20"/>
              </w:rPr>
            </w:pPr>
            <w:r w:rsidRPr="006831A1">
              <w:rPr>
                <w:sz w:val="20"/>
                <w:szCs w:val="20"/>
              </w:rPr>
              <w:t>14/02256/FUL</w:t>
            </w:r>
          </w:p>
        </w:tc>
        <w:tc>
          <w:tcPr>
            <w:tcW w:w="1767" w:type="dxa"/>
            <w:hideMark/>
          </w:tcPr>
          <w:p w:rsidR="00126779" w:rsidRPr="006831A1" w:rsidRDefault="00126779" w:rsidP="00126779">
            <w:pPr>
              <w:rPr>
                <w:sz w:val="20"/>
                <w:szCs w:val="20"/>
              </w:rPr>
            </w:pPr>
            <w:r w:rsidRPr="006831A1">
              <w:rPr>
                <w:sz w:val="20"/>
                <w:szCs w:val="20"/>
              </w:rPr>
              <w:t>4-5 Queen Street and 114-119 St Aldates</w:t>
            </w:r>
          </w:p>
        </w:tc>
        <w:tc>
          <w:tcPr>
            <w:tcW w:w="3395" w:type="dxa"/>
            <w:hideMark/>
          </w:tcPr>
          <w:p w:rsidR="00126779" w:rsidRPr="006831A1" w:rsidRDefault="00126779" w:rsidP="00126779">
            <w:pPr>
              <w:rPr>
                <w:sz w:val="20"/>
                <w:szCs w:val="20"/>
              </w:rPr>
            </w:pPr>
            <w:r w:rsidRPr="006831A1">
              <w:rPr>
                <w:sz w:val="20"/>
                <w:szCs w:val="20"/>
              </w:rPr>
              <w:t>Demolition of 4-5 Queen Street and rear of 114-119 St Aldates. Renovation and alteration of remaining properties at 114-119 St. Aldates with roof extension, plus erection of new building to Queen St on 5 levels plus basement. Change of use from offices and retail to form 2 Class A1 retail units plus further unit for either Class A1 (retail), Class A2 (offices) or Class A3 (restaurant) at basement and ground floor levels. Provision of 133 student study rooms at upper levels, plus ancillary facilities at basement level and cycle parking for 110 cycles at ground floor level.</w:t>
            </w:r>
          </w:p>
        </w:tc>
        <w:tc>
          <w:tcPr>
            <w:tcW w:w="2420" w:type="dxa"/>
            <w:hideMark/>
          </w:tcPr>
          <w:p w:rsidR="00126779" w:rsidRPr="006831A1" w:rsidRDefault="00126779" w:rsidP="00126779">
            <w:pPr>
              <w:jc w:val="center"/>
              <w:rPr>
                <w:sz w:val="20"/>
                <w:szCs w:val="20"/>
              </w:rPr>
            </w:pPr>
            <w:r w:rsidRPr="006831A1">
              <w:rPr>
                <w:sz w:val="20"/>
                <w:szCs w:val="20"/>
              </w:rPr>
              <w:t>£663,197.82</w:t>
            </w:r>
          </w:p>
        </w:tc>
      </w:tr>
      <w:tr w:rsidR="00126779" w:rsidRPr="00351DD4" w:rsidTr="00126779">
        <w:trPr>
          <w:trHeight w:val="279"/>
        </w:trPr>
        <w:tc>
          <w:tcPr>
            <w:tcW w:w="1660" w:type="dxa"/>
            <w:tcBorders>
              <w:left w:val="nil"/>
              <w:bottom w:val="nil"/>
              <w:right w:val="nil"/>
            </w:tcBorders>
            <w:shd w:val="clear" w:color="auto" w:fill="FFFFFF" w:themeFill="background1"/>
          </w:tcPr>
          <w:p w:rsidR="00126779" w:rsidRPr="00351DD4" w:rsidRDefault="00126779" w:rsidP="00126779">
            <w:pPr>
              <w:rPr>
                <w:rFonts w:asciiTheme="minorHAnsi" w:hAnsiTheme="minorHAnsi" w:cstheme="minorHAnsi"/>
                <w:color w:val="262626" w:themeColor="text1" w:themeTint="D9"/>
                <w:sz w:val="20"/>
              </w:rPr>
            </w:pPr>
          </w:p>
        </w:tc>
        <w:tc>
          <w:tcPr>
            <w:tcW w:w="1767" w:type="dxa"/>
            <w:tcBorders>
              <w:left w:val="nil"/>
              <w:bottom w:val="nil"/>
            </w:tcBorders>
            <w:shd w:val="clear" w:color="auto" w:fill="FFFFFF" w:themeFill="background1"/>
          </w:tcPr>
          <w:p w:rsidR="00126779" w:rsidRPr="00351DD4" w:rsidRDefault="00126779" w:rsidP="00126779">
            <w:pPr>
              <w:rPr>
                <w:rFonts w:asciiTheme="minorHAnsi" w:hAnsiTheme="minorHAnsi" w:cstheme="minorHAnsi"/>
                <w:color w:val="262626" w:themeColor="text1" w:themeTint="D9"/>
                <w:sz w:val="20"/>
              </w:rPr>
            </w:pPr>
          </w:p>
        </w:tc>
        <w:tc>
          <w:tcPr>
            <w:tcW w:w="3395" w:type="dxa"/>
            <w:shd w:val="clear" w:color="auto" w:fill="FDE9D9" w:themeFill="accent6" w:themeFillTint="33"/>
          </w:tcPr>
          <w:p w:rsidR="00126779" w:rsidRPr="00351DD4" w:rsidRDefault="00126779" w:rsidP="00126779">
            <w:pPr>
              <w:jc w:val="right"/>
              <w:rPr>
                <w:rFonts w:asciiTheme="minorHAnsi" w:hAnsiTheme="minorHAnsi" w:cstheme="minorHAnsi"/>
                <w:b/>
                <w:color w:val="262626" w:themeColor="text1" w:themeTint="D9"/>
                <w:sz w:val="20"/>
              </w:rPr>
            </w:pPr>
            <w:r w:rsidRPr="00351DD4">
              <w:rPr>
                <w:rFonts w:asciiTheme="minorHAnsi" w:hAnsiTheme="minorHAnsi" w:cstheme="minorHAnsi"/>
                <w:b/>
                <w:color w:val="262626" w:themeColor="text1" w:themeTint="D9"/>
                <w:sz w:val="20"/>
              </w:rPr>
              <w:t>Total amount received:</w:t>
            </w:r>
          </w:p>
        </w:tc>
        <w:tc>
          <w:tcPr>
            <w:tcW w:w="2420" w:type="dxa"/>
            <w:shd w:val="clear" w:color="auto" w:fill="FDE9D9" w:themeFill="accent6" w:themeFillTint="33"/>
          </w:tcPr>
          <w:p w:rsidR="00126779" w:rsidRPr="00351DD4" w:rsidRDefault="00126779" w:rsidP="00126779">
            <w:pPr>
              <w:jc w:val="center"/>
              <w:rPr>
                <w:rFonts w:asciiTheme="minorHAnsi" w:hAnsiTheme="minorHAnsi" w:cstheme="minorHAnsi"/>
                <w:b/>
                <w:color w:val="262626" w:themeColor="text1" w:themeTint="D9"/>
                <w:sz w:val="20"/>
              </w:rPr>
            </w:pPr>
            <w:r w:rsidRPr="00351DD4">
              <w:rPr>
                <w:rFonts w:asciiTheme="minorHAnsi" w:hAnsiTheme="minorHAnsi" w:cstheme="minorHAnsi"/>
                <w:b/>
                <w:color w:val="262626" w:themeColor="text1" w:themeTint="D9"/>
                <w:sz w:val="20"/>
              </w:rPr>
              <w:t>£1</w:t>
            </w:r>
            <w:r>
              <w:rPr>
                <w:rFonts w:asciiTheme="minorHAnsi" w:hAnsiTheme="minorHAnsi" w:cstheme="minorHAnsi"/>
                <w:b/>
                <w:color w:val="262626" w:themeColor="text1" w:themeTint="D9"/>
                <w:sz w:val="20"/>
              </w:rPr>
              <w:t>,717,018.34</w:t>
            </w:r>
          </w:p>
        </w:tc>
      </w:tr>
    </w:tbl>
    <w:p w:rsidR="00126779" w:rsidRPr="00351DD4" w:rsidRDefault="00126779" w:rsidP="00126779">
      <w:pPr>
        <w:autoSpaceDE w:val="0"/>
        <w:autoSpaceDN w:val="0"/>
        <w:adjustRightInd w:val="0"/>
        <w:spacing w:after="200" w:line="276" w:lineRule="auto"/>
        <w:ind w:right="-46"/>
        <w:jc w:val="center"/>
        <w:rPr>
          <w:sz w:val="20"/>
          <w:szCs w:val="20"/>
        </w:rPr>
      </w:pPr>
      <w:r w:rsidRPr="00351DD4">
        <w:rPr>
          <w:rFonts w:eastAsia="Calibri" w:cs="Calibri"/>
          <w:b/>
          <w:color w:val="000000"/>
          <w:sz w:val="20"/>
          <w:szCs w:val="20"/>
        </w:rPr>
        <w:t xml:space="preserve">Table 13: </w:t>
      </w:r>
      <w:r w:rsidRPr="00351DD4">
        <w:rPr>
          <w:sz w:val="20"/>
          <w:szCs w:val="20"/>
        </w:rPr>
        <w:t>Financial contributions towards affordable housing received</w:t>
      </w:r>
      <w:r>
        <w:rPr>
          <w:sz w:val="20"/>
          <w:szCs w:val="20"/>
        </w:rPr>
        <w:t xml:space="preserve"> from all development types 2017</w:t>
      </w:r>
      <w:r w:rsidRPr="00351DD4">
        <w:rPr>
          <w:sz w:val="20"/>
          <w:szCs w:val="20"/>
        </w:rPr>
        <w:t>/1</w:t>
      </w:r>
      <w:r>
        <w:rPr>
          <w:sz w:val="20"/>
          <w:szCs w:val="20"/>
        </w:rPr>
        <w:t>8</w:t>
      </w:r>
    </w:p>
    <w:p w:rsidR="00126779" w:rsidRPr="00351DD4" w:rsidRDefault="00126779" w:rsidP="00126779">
      <w:pPr>
        <w:outlineLvl w:val="1"/>
        <w:rPr>
          <w:rFonts w:asciiTheme="minorHAnsi" w:hAnsiTheme="minorHAnsi"/>
          <w:b/>
          <w:lang w:eastAsia="en-GB"/>
        </w:rPr>
      </w:pPr>
    </w:p>
    <w:bookmarkStart w:id="18" w:name="_Toc529178348"/>
    <w:p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80768" behindDoc="1" locked="0" layoutInCell="1" allowOverlap="1" wp14:anchorId="18DBE60D" wp14:editId="47154821">
                <wp:simplePos x="0" y="0"/>
                <wp:positionH relativeFrom="column">
                  <wp:posOffset>-66675</wp:posOffset>
                </wp:positionH>
                <wp:positionV relativeFrom="paragraph">
                  <wp:posOffset>3175</wp:posOffset>
                </wp:positionV>
                <wp:extent cx="5875655" cy="733425"/>
                <wp:effectExtent l="0" t="0" r="0" b="9525"/>
                <wp:wrapNone/>
                <wp:docPr id="274" name="Rectangle 274"/>
                <wp:cNvGraphicFramePr/>
                <a:graphic xmlns:a="http://schemas.openxmlformats.org/drawingml/2006/main">
                  <a:graphicData uri="http://schemas.microsoft.com/office/word/2010/wordprocessingShape">
                    <wps:wsp>
                      <wps:cNvSpPr/>
                      <wps:spPr>
                        <a:xfrm>
                          <a:off x="0" y="0"/>
                          <a:ext cx="5875655" cy="7334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061BCC" id="Rectangle 274" o:spid="_x0000_s1026" style="position:absolute;margin-left:-5.25pt;margin-top:.25pt;width:462.65pt;height:5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" fillcolor="#fcd5b5" stroked="f" strokeweight="2pt"/>
            </w:pict>
          </mc:Fallback>
        </mc:AlternateContent>
      </w:r>
      <w:r w:rsidRPr="00351DD4">
        <w:rPr>
          <w:rFonts w:asciiTheme="minorHAnsi" w:hAnsiTheme="minorHAnsi"/>
          <w:b/>
          <w:lang w:eastAsia="en-GB"/>
        </w:rPr>
        <w:t>Indicator 12: CHANGES OF USE FROM NON-RESIDENTIAL TO RESIDENTIAL (COMPLETIONS)</w:t>
      </w:r>
      <w:bookmarkEnd w:id="18"/>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spacing w:after="360" w:line="276" w:lineRule="auto"/>
        <w:ind w:right="-45"/>
        <w:jc w:val="both"/>
        <w:rPr>
          <w:rFonts w:eastAsia="Calibri" w:cs="Calibri"/>
          <w:b/>
          <w:color w:val="984806" w:themeColor="accent6" w:themeShade="80"/>
          <w:szCs w:val="22"/>
        </w:rPr>
      </w:pPr>
      <w:r w:rsidRPr="00351DD4">
        <w:rPr>
          <w:rFonts w:eastAsia="Calibri" w:cs="Calibri"/>
          <w:b/>
          <w:color w:val="984806" w:themeColor="accent6" w:themeShade="80"/>
          <w:szCs w:val="22"/>
        </w:rPr>
        <w:t>No set target. AMR to report on the number of market and affordable dwellings delivered (completed) through changes of use from non-residential to C3 residential.</w:t>
      </w:r>
      <w:r w:rsidRPr="00351DD4">
        <w:rPr>
          <w:rFonts w:eastAsia="Calibri" w:cs="Calibri"/>
          <w:b/>
          <w:color w:val="984806" w:themeColor="accent6" w:themeShade="80"/>
          <w:szCs w:val="22"/>
          <w:vertAlign w:val="superscript"/>
        </w:rPr>
        <w:footnoteReference w:id="22"/>
      </w:r>
      <w:r w:rsidRPr="00351DD4">
        <w:rPr>
          <w:rFonts w:eastAsia="Calibri" w:cs="Calibri"/>
          <w:b/>
          <w:color w:val="984806" w:themeColor="accent6" w:themeShade="80"/>
          <w:szCs w:val="22"/>
        </w:rPr>
        <w:t xml:space="preserve">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Of </w:t>
      </w:r>
      <w:r w:rsidRPr="00626765">
        <w:rPr>
          <w:rFonts w:eastAsia="Calibri" w:cs="Calibri"/>
          <w:szCs w:val="22"/>
        </w:rPr>
        <w:t xml:space="preserve">the </w:t>
      </w:r>
      <w:r w:rsidR="007C1956" w:rsidRPr="00626765">
        <w:rPr>
          <w:rFonts w:eastAsia="Calibri" w:cs="Calibri"/>
          <w:szCs w:val="22"/>
        </w:rPr>
        <w:t>282</w:t>
      </w:r>
      <w:r w:rsidRPr="00626765">
        <w:rPr>
          <w:rFonts w:eastAsia="Calibri" w:cs="Calibri"/>
          <w:szCs w:val="22"/>
        </w:rPr>
        <w:t xml:space="preserve"> dwellings completed in Oxford in 201</w:t>
      </w:r>
      <w:r w:rsidR="007C1956" w:rsidRPr="00626765">
        <w:rPr>
          <w:rFonts w:eastAsia="Calibri" w:cs="Calibri"/>
          <w:szCs w:val="22"/>
        </w:rPr>
        <w:t>7/18</w:t>
      </w:r>
      <w:r w:rsidRPr="00626765">
        <w:rPr>
          <w:rFonts w:eastAsia="Calibri" w:cs="Calibri"/>
          <w:szCs w:val="22"/>
        </w:rPr>
        <w:t xml:space="preserve">, </w:t>
      </w:r>
      <w:r w:rsidR="007C1956" w:rsidRPr="00626765">
        <w:rPr>
          <w:rFonts w:eastAsia="Calibri" w:cs="Calibri"/>
          <w:szCs w:val="22"/>
        </w:rPr>
        <w:t>86</w:t>
      </w:r>
      <w:r w:rsidR="007C1956">
        <w:rPr>
          <w:rFonts w:eastAsia="Calibri" w:cs="Calibri"/>
          <w:szCs w:val="22"/>
        </w:rPr>
        <w:t xml:space="preserve"> net additional</w:t>
      </w:r>
      <w:r w:rsidRPr="00351DD4">
        <w:rPr>
          <w:rFonts w:eastAsia="Calibri" w:cs="Calibri"/>
          <w:szCs w:val="22"/>
        </w:rPr>
        <w:t xml:space="preserve"> dwellings were delivered through the change of use of existing buildings from non-residential to C3 residential (Table 14).</w:t>
      </w:r>
    </w:p>
    <w:tbl>
      <w:tblPr>
        <w:tblStyle w:val="TableGrid102"/>
        <w:tblW w:w="0" w:type="auto"/>
        <w:tblInd w:w="1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77"/>
        <w:gridCol w:w="1559"/>
        <w:gridCol w:w="2299"/>
        <w:gridCol w:w="2299"/>
      </w:tblGrid>
      <w:tr w:rsidR="00126779" w:rsidRPr="00351DD4" w:rsidTr="00126779">
        <w:tc>
          <w:tcPr>
            <w:tcW w:w="4536" w:type="dxa"/>
            <w:gridSpan w:val="2"/>
            <w:shd w:val="clear" w:color="auto" w:fill="FDE9D9" w:themeFill="accent6" w:themeFillTint="33"/>
            <w:vAlign w:val="center"/>
          </w:tcPr>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Type of change of use</w:t>
            </w:r>
          </w:p>
        </w:tc>
        <w:tc>
          <w:tcPr>
            <w:tcW w:w="2299" w:type="dxa"/>
            <w:shd w:val="clear" w:color="auto" w:fill="FDE9D9" w:themeFill="accent6" w:themeFillTint="33"/>
          </w:tcPr>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No. market dwellings completed (net)</w:t>
            </w:r>
          </w:p>
        </w:tc>
        <w:tc>
          <w:tcPr>
            <w:tcW w:w="2299" w:type="dxa"/>
            <w:shd w:val="clear" w:color="auto" w:fill="FDE9D9" w:themeFill="accent6" w:themeFillTint="33"/>
          </w:tcPr>
          <w:p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No. affordable dwellings completed (net)</w:t>
            </w:r>
          </w:p>
        </w:tc>
      </w:tr>
      <w:tr w:rsidR="00126779" w:rsidRPr="00351DD4" w:rsidTr="00126779">
        <w:tc>
          <w:tcPr>
            <w:tcW w:w="4536" w:type="dxa"/>
            <w:gridSpan w:val="2"/>
            <w:shd w:val="clear" w:color="auto" w:fill="auto"/>
          </w:tcPr>
          <w:p w:rsidR="00126779" w:rsidRDefault="00D1348C" w:rsidP="00126779">
            <w:pPr>
              <w:rPr>
                <w:rFonts w:eastAsia="Times New Roman" w:cs="Times New Roman"/>
                <w:color w:val="262626" w:themeColor="text1" w:themeTint="D9"/>
                <w:sz w:val="20"/>
              </w:rPr>
            </w:pPr>
            <w:r w:rsidRPr="00D1348C">
              <w:rPr>
                <w:rFonts w:eastAsia="Times New Roman" w:cs="Times New Roman"/>
                <w:color w:val="262626" w:themeColor="text1" w:themeTint="D9"/>
                <w:sz w:val="20"/>
              </w:rPr>
              <w:t>Change of use from house in multiple occupation to six (1 bed) flats</w:t>
            </w:r>
          </w:p>
        </w:tc>
        <w:tc>
          <w:tcPr>
            <w:tcW w:w="2299" w:type="dxa"/>
          </w:tcPr>
          <w:p w:rsidR="00126779" w:rsidRDefault="00D1348C"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5</w:t>
            </w:r>
          </w:p>
        </w:tc>
        <w:tc>
          <w:tcPr>
            <w:tcW w:w="2299" w:type="dxa"/>
          </w:tcPr>
          <w:p w:rsidR="00126779" w:rsidRDefault="00126779" w:rsidP="00126779">
            <w:pPr>
              <w:jc w:val="center"/>
              <w:rPr>
                <w:rFonts w:eastAsia="Times New Roman" w:cs="Times New Roman"/>
                <w:color w:val="262626" w:themeColor="text1" w:themeTint="D9"/>
                <w:sz w:val="20"/>
              </w:rPr>
            </w:pPr>
          </w:p>
        </w:tc>
      </w:tr>
      <w:tr w:rsidR="00126779" w:rsidRPr="00351DD4" w:rsidTr="00126779">
        <w:tc>
          <w:tcPr>
            <w:tcW w:w="4536" w:type="dxa"/>
            <w:gridSpan w:val="2"/>
            <w:shd w:val="clear" w:color="auto" w:fill="auto"/>
          </w:tcPr>
          <w:p w:rsidR="00126779" w:rsidRDefault="00D1348C" w:rsidP="00126779">
            <w:pPr>
              <w:rPr>
                <w:rFonts w:eastAsia="Times New Roman" w:cs="Times New Roman"/>
                <w:color w:val="262626" w:themeColor="text1" w:themeTint="D9"/>
                <w:sz w:val="20"/>
              </w:rPr>
            </w:pPr>
            <w:r w:rsidRPr="00D1348C">
              <w:rPr>
                <w:rFonts w:eastAsia="Times New Roman" w:cs="Times New Roman"/>
                <w:color w:val="262626" w:themeColor="text1" w:themeTint="D9"/>
                <w:sz w:val="20"/>
              </w:rPr>
              <w:t>Change of use from institution for a college (C2) to family dwelling (C3).</w:t>
            </w:r>
          </w:p>
        </w:tc>
        <w:tc>
          <w:tcPr>
            <w:tcW w:w="2299" w:type="dxa"/>
          </w:tcPr>
          <w:p w:rsidR="00126779" w:rsidRDefault="00D1348C"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tc>
        <w:tc>
          <w:tcPr>
            <w:tcW w:w="2299" w:type="dxa"/>
          </w:tcPr>
          <w:p w:rsidR="00126779" w:rsidRDefault="00126779" w:rsidP="00126779">
            <w:pPr>
              <w:jc w:val="center"/>
              <w:rPr>
                <w:rFonts w:eastAsia="Times New Roman" w:cs="Times New Roman"/>
                <w:color w:val="262626" w:themeColor="text1" w:themeTint="D9"/>
                <w:sz w:val="20"/>
              </w:rPr>
            </w:pPr>
          </w:p>
        </w:tc>
      </w:tr>
      <w:tr w:rsidR="00126779" w:rsidRPr="00351DD4" w:rsidTr="00126779">
        <w:tc>
          <w:tcPr>
            <w:tcW w:w="4536" w:type="dxa"/>
            <w:gridSpan w:val="2"/>
            <w:shd w:val="clear" w:color="auto" w:fill="auto"/>
          </w:tcPr>
          <w:p w:rsidR="00126779" w:rsidRPr="00351DD4" w:rsidRDefault="000945B0" w:rsidP="00126779">
            <w:pPr>
              <w:rPr>
                <w:rFonts w:eastAsia="Times New Roman" w:cs="Times New Roman"/>
                <w:color w:val="262626" w:themeColor="text1" w:themeTint="D9"/>
                <w:sz w:val="20"/>
              </w:rPr>
            </w:pPr>
            <w:r w:rsidRPr="000945B0">
              <w:rPr>
                <w:rFonts w:eastAsia="Times New Roman" w:cs="Times New Roman"/>
                <w:color w:val="262626" w:themeColor="text1" w:themeTint="D9"/>
                <w:sz w:val="20"/>
              </w:rPr>
              <w:t>Change of use from shop to 1 bed flat.</w:t>
            </w:r>
          </w:p>
        </w:tc>
        <w:tc>
          <w:tcPr>
            <w:tcW w:w="2299" w:type="dxa"/>
          </w:tcPr>
          <w:p w:rsidR="00126779" w:rsidRPr="00351DD4" w:rsidRDefault="000945B0"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tc>
        <w:tc>
          <w:tcPr>
            <w:tcW w:w="2299" w:type="dxa"/>
          </w:tcPr>
          <w:p w:rsidR="00126779" w:rsidRPr="00351DD4" w:rsidRDefault="00126779" w:rsidP="00126779">
            <w:pPr>
              <w:jc w:val="center"/>
              <w:rPr>
                <w:rFonts w:eastAsia="Times New Roman" w:cs="Times New Roman"/>
                <w:color w:val="262626" w:themeColor="text1" w:themeTint="D9"/>
                <w:sz w:val="20"/>
              </w:rPr>
            </w:pPr>
          </w:p>
        </w:tc>
      </w:tr>
      <w:tr w:rsidR="00126779" w:rsidRPr="00351DD4" w:rsidTr="00126779">
        <w:tc>
          <w:tcPr>
            <w:tcW w:w="4536" w:type="dxa"/>
            <w:gridSpan w:val="2"/>
            <w:shd w:val="clear" w:color="auto" w:fill="auto"/>
          </w:tcPr>
          <w:p w:rsidR="00126779" w:rsidRPr="00741F6D" w:rsidRDefault="00723342" w:rsidP="00126779">
            <w:pPr>
              <w:rPr>
                <w:rFonts w:eastAsia="Times New Roman" w:cs="Times New Roman"/>
                <w:color w:val="262626" w:themeColor="text1" w:themeTint="D9"/>
                <w:sz w:val="20"/>
                <w:highlight w:val="yellow"/>
              </w:rPr>
            </w:pPr>
            <w:r>
              <w:rPr>
                <w:rFonts w:eastAsia="Times New Roman" w:cs="Times New Roman"/>
                <w:color w:val="262626" w:themeColor="text1" w:themeTint="D9"/>
                <w:sz w:val="20"/>
              </w:rPr>
              <w:t xml:space="preserve">(PRIOR APPROVAL) </w:t>
            </w:r>
            <w:r w:rsidR="000945B0" w:rsidRPr="000945B0">
              <w:rPr>
                <w:rFonts w:eastAsia="Times New Roman" w:cs="Times New Roman"/>
                <w:color w:val="262626" w:themeColor="text1" w:themeTint="D9"/>
                <w:sz w:val="20"/>
              </w:rPr>
              <w:t xml:space="preserve">Change of use from office (Use Class </w:t>
            </w:r>
            <w:proofErr w:type="gramStart"/>
            <w:r w:rsidR="000945B0" w:rsidRPr="000945B0">
              <w:rPr>
                <w:rFonts w:eastAsia="Times New Roman" w:cs="Times New Roman"/>
                <w:color w:val="262626" w:themeColor="text1" w:themeTint="D9"/>
                <w:sz w:val="20"/>
              </w:rPr>
              <w:t>B1(</w:t>
            </w:r>
            <w:proofErr w:type="gramEnd"/>
            <w:r w:rsidR="000945B0" w:rsidRPr="000945B0">
              <w:rPr>
                <w:rFonts w:eastAsia="Times New Roman" w:cs="Times New Roman"/>
                <w:color w:val="262626" w:themeColor="text1" w:themeTint="D9"/>
                <w:sz w:val="20"/>
              </w:rPr>
              <w:t xml:space="preserve">a)) to residential (Use Class C3) </w:t>
            </w:r>
            <w:r>
              <w:rPr>
                <w:rFonts w:eastAsia="Times New Roman" w:cs="Times New Roman"/>
                <w:color w:val="262626" w:themeColor="text1" w:themeTint="D9"/>
                <w:sz w:val="20"/>
              </w:rPr>
              <w:t>to provide 16 residential units.</w:t>
            </w:r>
          </w:p>
        </w:tc>
        <w:tc>
          <w:tcPr>
            <w:tcW w:w="2299" w:type="dxa"/>
          </w:tcPr>
          <w:p w:rsidR="00126779" w:rsidRPr="00BD3F6A" w:rsidRDefault="000945B0"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16</w:t>
            </w:r>
          </w:p>
        </w:tc>
        <w:tc>
          <w:tcPr>
            <w:tcW w:w="2299" w:type="dxa"/>
          </w:tcPr>
          <w:p w:rsidR="00126779" w:rsidRPr="00BD3F6A" w:rsidRDefault="00126779" w:rsidP="00126779">
            <w:pPr>
              <w:jc w:val="center"/>
              <w:rPr>
                <w:rFonts w:eastAsia="Times New Roman" w:cs="Times New Roman"/>
                <w:color w:val="262626" w:themeColor="text1" w:themeTint="D9"/>
                <w:sz w:val="20"/>
              </w:rPr>
            </w:pPr>
          </w:p>
        </w:tc>
      </w:tr>
      <w:tr w:rsidR="00126779" w:rsidRPr="00351DD4" w:rsidTr="00126779">
        <w:tc>
          <w:tcPr>
            <w:tcW w:w="4536" w:type="dxa"/>
            <w:gridSpan w:val="2"/>
            <w:shd w:val="clear" w:color="auto" w:fill="auto"/>
          </w:tcPr>
          <w:p w:rsidR="00126779" w:rsidRPr="00DE0E0B" w:rsidRDefault="000945B0" w:rsidP="00126779">
            <w:pPr>
              <w:rPr>
                <w:rFonts w:eastAsia="Times New Roman" w:cs="Times New Roman"/>
                <w:color w:val="262626" w:themeColor="text1" w:themeTint="D9"/>
                <w:sz w:val="20"/>
              </w:rPr>
            </w:pPr>
            <w:r w:rsidRPr="000945B0">
              <w:rPr>
                <w:rFonts w:eastAsia="Times New Roman" w:cs="Times New Roman"/>
                <w:color w:val="262626" w:themeColor="text1" w:themeTint="D9"/>
                <w:sz w:val="20"/>
              </w:rPr>
              <w:t xml:space="preserve">Change of use of public house (Use Class A4) to 1 x 5-bed </w:t>
            </w:r>
            <w:proofErr w:type="spellStart"/>
            <w:r w:rsidRPr="000945B0">
              <w:rPr>
                <w:rFonts w:eastAsia="Times New Roman" w:cs="Times New Roman"/>
                <w:color w:val="262626" w:themeColor="text1" w:themeTint="D9"/>
                <w:sz w:val="20"/>
              </w:rPr>
              <w:t>dwellinghouse</w:t>
            </w:r>
            <w:proofErr w:type="spellEnd"/>
          </w:p>
        </w:tc>
        <w:tc>
          <w:tcPr>
            <w:tcW w:w="2299" w:type="dxa"/>
          </w:tcPr>
          <w:p w:rsidR="00126779" w:rsidRPr="00DE0E0B" w:rsidRDefault="000945B0"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tc>
        <w:tc>
          <w:tcPr>
            <w:tcW w:w="2299" w:type="dxa"/>
          </w:tcPr>
          <w:p w:rsidR="00126779" w:rsidRPr="00DE0E0B" w:rsidRDefault="00126779" w:rsidP="00126779">
            <w:pPr>
              <w:rPr>
                <w:rFonts w:eastAsia="Times New Roman" w:cs="Times New Roman"/>
                <w:color w:val="262626" w:themeColor="text1" w:themeTint="D9"/>
                <w:sz w:val="20"/>
              </w:rPr>
            </w:pPr>
          </w:p>
        </w:tc>
      </w:tr>
      <w:tr w:rsidR="00126779" w:rsidRPr="00351DD4" w:rsidTr="00126779">
        <w:tc>
          <w:tcPr>
            <w:tcW w:w="4536" w:type="dxa"/>
            <w:gridSpan w:val="2"/>
            <w:shd w:val="clear" w:color="auto" w:fill="auto"/>
          </w:tcPr>
          <w:p w:rsidR="00126779" w:rsidRPr="00DE0E0B" w:rsidRDefault="000945B0" w:rsidP="00126779">
            <w:pPr>
              <w:rPr>
                <w:rFonts w:eastAsia="Times New Roman" w:cs="Times New Roman"/>
                <w:color w:val="262626" w:themeColor="text1" w:themeTint="D9"/>
                <w:sz w:val="20"/>
              </w:rPr>
            </w:pPr>
            <w:r w:rsidRPr="000945B0">
              <w:rPr>
                <w:rFonts w:eastAsia="Times New Roman" w:cs="Times New Roman"/>
                <w:color w:val="262626" w:themeColor="text1" w:themeTint="D9"/>
                <w:sz w:val="20"/>
              </w:rPr>
              <w:lastRenderedPageBreak/>
              <w:t>Application to certify that the proposed change of use of first floor from (Use Class A1</w:t>
            </w:r>
            <w:proofErr w:type="gramStart"/>
            <w:r w:rsidRPr="000945B0">
              <w:rPr>
                <w:rFonts w:eastAsia="Times New Roman" w:cs="Times New Roman"/>
                <w:color w:val="262626" w:themeColor="text1" w:themeTint="D9"/>
                <w:sz w:val="20"/>
              </w:rPr>
              <w:t>)  to</w:t>
            </w:r>
            <w:proofErr w:type="gramEnd"/>
            <w:r w:rsidRPr="000945B0">
              <w:rPr>
                <w:rFonts w:eastAsia="Times New Roman" w:cs="Times New Roman"/>
                <w:color w:val="262626" w:themeColor="text1" w:themeTint="D9"/>
                <w:sz w:val="20"/>
              </w:rPr>
              <w:t xml:space="preserve"> 2 x 1-bed flats (Use Class C3) is lawful development.</w:t>
            </w:r>
          </w:p>
        </w:tc>
        <w:tc>
          <w:tcPr>
            <w:tcW w:w="2299" w:type="dxa"/>
          </w:tcPr>
          <w:p w:rsidR="00126779" w:rsidRPr="00DE0E0B" w:rsidRDefault="000945B0"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2</w:t>
            </w:r>
          </w:p>
        </w:tc>
        <w:tc>
          <w:tcPr>
            <w:tcW w:w="2299" w:type="dxa"/>
          </w:tcPr>
          <w:p w:rsidR="00126779" w:rsidRPr="00DE0E0B" w:rsidRDefault="00126779" w:rsidP="00126779">
            <w:pPr>
              <w:rPr>
                <w:rFonts w:eastAsia="Times New Roman" w:cs="Times New Roman"/>
                <w:color w:val="262626" w:themeColor="text1" w:themeTint="D9"/>
                <w:sz w:val="20"/>
              </w:rPr>
            </w:pPr>
          </w:p>
        </w:tc>
      </w:tr>
      <w:tr w:rsidR="00126779" w:rsidRPr="00351DD4" w:rsidTr="00126779">
        <w:tc>
          <w:tcPr>
            <w:tcW w:w="4536" w:type="dxa"/>
            <w:gridSpan w:val="2"/>
            <w:shd w:val="clear" w:color="auto" w:fill="auto"/>
          </w:tcPr>
          <w:p w:rsidR="00126779" w:rsidRPr="00DE0E0B" w:rsidRDefault="000945B0" w:rsidP="00126779">
            <w:pPr>
              <w:rPr>
                <w:rFonts w:eastAsia="Times New Roman" w:cs="Times New Roman"/>
                <w:color w:val="262626" w:themeColor="text1" w:themeTint="D9"/>
                <w:sz w:val="20"/>
              </w:rPr>
            </w:pPr>
            <w:r w:rsidRPr="000945B0">
              <w:rPr>
                <w:rFonts w:eastAsia="Times New Roman" w:cs="Times New Roman"/>
                <w:color w:val="262626" w:themeColor="text1" w:themeTint="D9"/>
                <w:sz w:val="20"/>
              </w:rPr>
              <w:t xml:space="preserve">Application for prior approval for the change of use of ground floor from shop (Use Class A1) to residential (Use Class C3) to provide 1 x 1-bed </w:t>
            </w:r>
            <w:proofErr w:type="spellStart"/>
            <w:r w:rsidRPr="000945B0">
              <w:rPr>
                <w:rFonts w:eastAsia="Times New Roman" w:cs="Times New Roman"/>
                <w:color w:val="262626" w:themeColor="text1" w:themeTint="D9"/>
                <w:sz w:val="20"/>
              </w:rPr>
              <w:t>dwellinghouse</w:t>
            </w:r>
            <w:proofErr w:type="spellEnd"/>
            <w:r w:rsidRPr="000945B0">
              <w:rPr>
                <w:rFonts w:eastAsia="Times New Roman" w:cs="Times New Roman"/>
                <w:color w:val="262626" w:themeColor="text1" w:themeTint="D9"/>
                <w:sz w:val="20"/>
              </w:rPr>
              <w:t>.</w:t>
            </w:r>
          </w:p>
        </w:tc>
        <w:tc>
          <w:tcPr>
            <w:tcW w:w="2299" w:type="dxa"/>
          </w:tcPr>
          <w:p w:rsidR="00126779" w:rsidRDefault="000945B0"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tc>
        <w:tc>
          <w:tcPr>
            <w:tcW w:w="2299" w:type="dxa"/>
          </w:tcPr>
          <w:p w:rsidR="00126779" w:rsidRPr="00DE0E0B" w:rsidRDefault="00126779" w:rsidP="00126779">
            <w:pPr>
              <w:jc w:val="center"/>
              <w:rPr>
                <w:rFonts w:eastAsia="Times New Roman" w:cs="Times New Roman"/>
                <w:color w:val="262626" w:themeColor="text1" w:themeTint="D9"/>
                <w:sz w:val="20"/>
              </w:rPr>
            </w:pPr>
          </w:p>
        </w:tc>
      </w:tr>
      <w:tr w:rsidR="00126779" w:rsidRPr="00351DD4" w:rsidTr="00126779">
        <w:trPr>
          <w:gridBefore w:val="1"/>
          <w:wBefore w:w="2977" w:type="dxa"/>
        </w:trPr>
        <w:tc>
          <w:tcPr>
            <w:tcW w:w="1559" w:type="dxa"/>
            <w:shd w:val="clear" w:color="auto" w:fill="FDE9D9" w:themeFill="accent6" w:themeFillTint="33"/>
          </w:tcPr>
          <w:p w:rsidR="00126779" w:rsidRPr="00351DD4" w:rsidRDefault="007C1956"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Total</w:t>
            </w:r>
          </w:p>
        </w:tc>
        <w:tc>
          <w:tcPr>
            <w:tcW w:w="2299" w:type="dxa"/>
            <w:shd w:val="clear" w:color="auto" w:fill="FDE9D9" w:themeFill="accent6" w:themeFillTint="33"/>
          </w:tcPr>
          <w:p w:rsidR="00126779" w:rsidRPr="00DE0E0B" w:rsidRDefault="007C1956"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27</w:t>
            </w:r>
          </w:p>
        </w:tc>
        <w:tc>
          <w:tcPr>
            <w:tcW w:w="2299" w:type="dxa"/>
            <w:shd w:val="clear" w:color="auto" w:fill="FDE9D9" w:themeFill="accent6" w:themeFillTint="33"/>
          </w:tcPr>
          <w:p w:rsidR="00126779" w:rsidRPr="00DE0E0B" w:rsidRDefault="007C1956"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0</w:t>
            </w:r>
          </w:p>
        </w:tc>
      </w:tr>
    </w:tbl>
    <w:p w:rsidR="00126779" w:rsidRPr="00351DD4" w:rsidRDefault="00126779" w:rsidP="00126779">
      <w:pPr>
        <w:autoSpaceDE w:val="0"/>
        <w:autoSpaceDN w:val="0"/>
        <w:adjustRightInd w:val="0"/>
        <w:spacing w:after="200" w:line="276" w:lineRule="auto"/>
        <w:ind w:right="-46"/>
        <w:jc w:val="center"/>
        <w:rPr>
          <w:sz w:val="20"/>
          <w:szCs w:val="20"/>
        </w:rPr>
      </w:pPr>
      <w:r w:rsidRPr="00351DD4">
        <w:rPr>
          <w:rFonts w:eastAsia="Calibri" w:cs="Calibri"/>
          <w:b/>
          <w:color w:val="000000"/>
          <w:sz w:val="20"/>
          <w:szCs w:val="20"/>
        </w:rPr>
        <w:t xml:space="preserve">Table 14: </w:t>
      </w:r>
      <w:r w:rsidR="007C1956">
        <w:rPr>
          <w:sz w:val="20"/>
          <w:szCs w:val="20"/>
        </w:rPr>
        <w:t xml:space="preserve">Net additional </w:t>
      </w:r>
      <w:r w:rsidR="0093161A">
        <w:rPr>
          <w:sz w:val="20"/>
          <w:szCs w:val="20"/>
        </w:rPr>
        <w:t>d</w:t>
      </w:r>
      <w:r w:rsidRPr="00351DD4">
        <w:rPr>
          <w:sz w:val="20"/>
          <w:szCs w:val="20"/>
        </w:rPr>
        <w:t>wellings completed through non-residential to C3 residential changes of use 2017</w:t>
      </w:r>
      <w:r>
        <w:rPr>
          <w:sz w:val="20"/>
          <w:szCs w:val="20"/>
        </w:rPr>
        <w:t>/18</w:t>
      </w:r>
    </w:p>
    <w:p w:rsidR="00126779" w:rsidRPr="009059CB" w:rsidRDefault="007C1956" w:rsidP="00126779">
      <w:pPr>
        <w:numPr>
          <w:ilvl w:val="1"/>
          <w:numId w:val="8"/>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Twenty seven</w:t>
      </w:r>
      <w:r w:rsidR="00126779">
        <w:rPr>
          <w:rFonts w:eastAsia="Calibri" w:cs="Calibri"/>
          <w:szCs w:val="22"/>
        </w:rPr>
        <w:t xml:space="preserve"> </w:t>
      </w:r>
      <w:r w:rsidR="00126779" w:rsidRPr="00351DD4">
        <w:rPr>
          <w:rFonts w:eastAsia="Calibri" w:cs="Calibri"/>
          <w:szCs w:val="22"/>
        </w:rPr>
        <w:t>of the dwellings delivered through changes of use from non-residential to residential in 201</w:t>
      </w:r>
      <w:r w:rsidR="00126779">
        <w:rPr>
          <w:rFonts w:eastAsia="Calibri" w:cs="Calibri"/>
          <w:szCs w:val="22"/>
        </w:rPr>
        <w:t>7</w:t>
      </w:r>
      <w:r w:rsidR="00126779" w:rsidRPr="00351DD4">
        <w:rPr>
          <w:rFonts w:eastAsia="Calibri" w:cs="Calibri"/>
          <w:szCs w:val="22"/>
        </w:rPr>
        <w:t>/1</w:t>
      </w:r>
      <w:r w:rsidR="00126779">
        <w:rPr>
          <w:rFonts w:eastAsia="Calibri" w:cs="Calibri"/>
          <w:szCs w:val="22"/>
        </w:rPr>
        <w:t>8</w:t>
      </w:r>
      <w:r w:rsidR="00126779" w:rsidRPr="00351DD4">
        <w:rPr>
          <w:rFonts w:eastAsia="Calibri" w:cs="Calibri"/>
          <w:szCs w:val="22"/>
        </w:rPr>
        <w:t xml:space="preserve"> were market housing</w:t>
      </w:r>
      <w:r>
        <w:rPr>
          <w:rFonts w:eastAsia="Calibri" w:cs="Calibri"/>
          <w:szCs w:val="22"/>
        </w:rPr>
        <w:t>, with no additional affordable dwellings being delivered through changes of use</w:t>
      </w:r>
      <w:r w:rsidRPr="002E6DEC">
        <w:rPr>
          <w:rFonts w:eastAsia="Calibri" w:cs="Calibri"/>
          <w:szCs w:val="22"/>
        </w:rPr>
        <w:t>.  Of the 7</w:t>
      </w:r>
      <w:r w:rsidR="00126779" w:rsidRPr="002E6DEC">
        <w:rPr>
          <w:rFonts w:eastAsia="Calibri" w:cs="Calibri"/>
          <w:szCs w:val="22"/>
        </w:rPr>
        <w:t xml:space="preserve"> changes of use applications requiring full planning permission</w:t>
      </w:r>
      <w:r w:rsidRPr="002E6DEC">
        <w:rPr>
          <w:rFonts w:eastAsia="Calibri" w:cs="Calibri"/>
          <w:szCs w:val="22"/>
        </w:rPr>
        <w:t xml:space="preserve"> </w:t>
      </w:r>
      <w:r w:rsidR="00723342" w:rsidRPr="002E6DEC">
        <w:rPr>
          <w:rFonts w:eastAsia="Calibri" w:cs="Calibri"/>
          <w:szCs w:val="22"/>
        </w:rPr>
        <w:t>6</w:t>
      </w:r>
      <w:r w:rsidR="00126779" w:rsidRPr="002E6DEC">
        <w:rPr>
          <w:rFonts w:eastAsia="Calibri" w:cs="Calibri"/>
          <w:szCs w:val="22"/>
        </w:rPr>
        <w:t xml:space="preserve"> fell below the policy thresholds for requiring onsite provision of affordable housing or financial contributions towards affordable housing. There was one change of use application which met the policy thresholds for requiring </w:t>
      </w:r>
      <w:r w:rsidR="00723342" w:rsidRPr="002E6DEC">
        <w:rPr>
          <w:rFonts w:eastAsia="Calibri" w:cs="Calibri"/>
          <w:szCs w:val="22"/>
        </w:rPr>
        <w:t xml:space="preserve">financial contributions towards affordable </w:t>
      </w:r>
      <w:proofErr w:type="gramStart"/>
      <w:r w:rsidR="00723342" w:rsidRPr="002E6DEC">
        <w:rPr>
          <w:rFonts w:eastAsia="Calibri" w:cs="Calibri"/>
          <w:szCs w:val="22"/>
        </w:rPr>
        <w:t>housing,</w:t>
      </w:r>
      <w:proofErr w:type="gramEnd"/>
      <w:r w:rsidR="00723342" w:rsidRPr="002E6DEC">
        <w:rPr>
          <w:rFonts w:eastAsia="Calibri" w:cs="Calibri"/>
          <w:szCs w:val="22"/>
        </w:rPr>
        <w:t xml:space="preserve"> however it was approved prior to the adoptio</w:t>
      </w:r>
      <w:r w:rsidR="002E6DEC" w:rsidRPr="002E6DEC">
        <w:rPr>
          <w:rFonts w:eastAsia="Calibri" w:cs="Calibri"/>
          <w:szCs w:val="22"/>
        </w:rPr>
        <w:t>n of the Sites and Housing Plan</w:t>
      </w:r>
      <w:r w:rsidR="00723342" w:rsidRPr="002E6DEC">
        <w:rPr>
          <w:rFonts w:eastAsia="Calibri" w:cs="Calibri"/>
          <w:szCs w:val="22"/>
        </w:rPr>
        <w:t xml:space="preserve"> (2013) which introduced the policy which allows affordable housing contributions to be sought on sites between 4 and 9 dwellings. </w:t>
      </w:r>
      <w:r w:rsidR="00126779" w:rsidRPr="002E6DEC">
        <w:rPr>
          <w:rFonts w:eastAsia="Calibri" w:cs="Calibri"/>
          <w:szCs w:val="22"/>
        </w:rPr>
        <w:t>Local</w:t>
      </w:r>
      <w:r w:rsidR="00126779" w:rsidRPr="009059CB">
        <w:rPr>
          <w:rFonts w:eastAsia="Calibri" w:cs="Calibri"/>
          <w:szCs w:val="22"/>
        </w:rPr>
        <w:t xml:space="preserve"> Plan policies requiring affordable housing or financial contributions towards affordable housing cannot be applied in the determination of prior approval applications.</w:t>
      </w:r>
    </w:p>
    <w:p w:rsidR="00126779" w:rsidRPr="00351DD4" w:rsidRDefault="00126779" w:rsidP="00126779">
      <w:pPr>
        <w:rPr>
          <w:rFonts w:eastAsia="Calibri" w:cs="Calibri"/>
          <w:b/>
          <w:color w:val="984806" w:themeColor="accent6" w:themeShade="80"/>
          <w:szCs w:val="22"/>
        </w:rPr>
      </w:pPr>
      <w:r w:rsidRPr="00351DD4">
        <w:rPr>
          <w:rFonts w:eastAsia="Calibri" w:cs="Calibri"/>
          <w:b/>
          <w:color w:val="984806" w:themeColor="accent6" w:themeShade="80"/>
          <w:szCs w:val="22"/>
        </w:rPr>
        <w:t>B1a office to C3 residential prior approval applications</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On 30 May 2013 the Government brought into force new permitted development rights which allow the conversion of B1a office space to C3 residential without the need for planning permission</w:t>
      </w:r>
      <w:r w:rsidRPr="00351DD4">
        <w:rPr>
          <w:rFonts w:eastAsia="Calibri" w:cs="Calibri"/>
          <w:szCs w:val="22"/>
          <w:vertAlign w:val="superscript"/>
        </w:rPr>
        <w:footnoteReference w:id="23"/>
      </w:r>
      <w:r w:rsidRPr="00351DD4">
        <w:rPr>
          <w:rFonts w:eastAsia="Calibri" w:cs="Calibri"/>
          <w:szCs w:val="22"/>
        </w:rPr>
        <w:t>. Table 15 shows the number of applications and the number of dwellings granted and refused prior approval since this system was introduced, and for which the city council could only consider flood risk, land contamination, highways and transport, and noise, and could not apply other normal local plan policies in determining the applications</w:t>
      </w:r>
      <w:r w:rsidRPr="00351DD4">
        <w:rPr>
          <w:rFonts w:eastAsia="Calibri" w:cs="Calibri"/>
          <w:szCs w:val="22"/>
          <w:vertAlign w:val="superscript"/>
        </w:rPr>
        <w:footnoteReference w:id="24"/>
      </w:r>
      <w:r w:rsidRPr="00351DD4">
        <w:rPr>
          <w:rFonts w:eastAsia="Calibri" w:cs="Calibri"/>
          <w:b/>
          <w:szCs w:val="22"/>
        </w:rPr>
        <w:t>.</w:t>
      </w:r>
    </w:p>
    <w:tbl>
      <w:tblPr>
        <w:tblW w:w="9073" w:type="dxa"/>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0" w:type="dxa"/>
          <w:right w:w="0" w:type="dxa"/>
        </w:tblCellMar>
        <w:tblLook w:val="04A0" w:firstRow="1" w:lastRow="0" w:firstColumn="1" w:lastColumn="0" w:noHBand="0" w:noVBand="1"/>
      </w:tblPr>
      <w:tblGrid>
        <w:gridCol w:w="1686"/>
        <w:gridCol w:w="1846"/>
        <w:gridCol w:w="1847"/>
        <w:gridCol w:w="1847"/>
        <w:gridCol w:w="1847"/>
      </w:tblGrid>
      <w:tr w:rsidR="00126779" w:rsidRPr="00351DD4" w:rsidTr="00126779">
        <w:tc>
          <w:tcPr>
            <w:tcW w:w="1686" w:type="dxa"/>
            <w:vMerge w:val="restart"/>
            <w:shd w:val="clear" w:color="auto" w:fill="FDE9D9" w:themeFill="accent6" w:themeFillTint="33"/>
            <w:tcMar>
              <w:top w:w="0" w:type="dxa"/>
              <w:left w:w="108" w:type="dxa"/>
              <w:bottom w:w="0" w:type="dxa"/>
              <w:right w:w="108" w:type="dxa"/>
            </w:tcMar>
            <w:vAlign w:val="center"/>
            <w:hideMark/>
          </w:tcPr>
          <w:p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Monitoring year</w:t>
            </w:r>
          </w:p>
        </w:tc>
        <w:tc>
          <w:tcPr>
            <w:tcW w:w="3693" w:type="dxa"/>
            <w:gridSpan w:val="2"/>
            <w:shd w:val="clear" w:color="auto" w:fill="FDE9D9" w:themeFill="accent6" w:themeFillTint="33"/>
            <w:tcMar>
              <w:top w:w="0" w:type="dxa"/>
              <w:left w:w="108" w:type="dxa"/>
              <w:bottom w:w="0" w:type="dxa"/>
              <w:right w:w="108" w:type="dxa"/>
            </w:tcMar>
            <w:vAlign w:val="center"/>
            <w:hideMark/>
          </w:tcPr>
          <w:p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Prior approval required</w:t>
            </w:r>
          </w:p>
          <w:p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and granted</w:t>
            </w:r>
          </w:p>
        </w:tc>
        <w:tc>
          <w:tcPr>
            <w:tcW w:w="3694" w:type="dxa"/>
            <w:gridSpan w:val="2"/>
            <w:shd w:val="clear" w:color="auto" w:fill="FDE9D9" w:themeFill="accent6" w:themeFillTint="33"/>
            <w:tcMar>
              <w:top w:w="0" w:type="dxa"/>
              <w:left w:w="108" w:type="dxa"/>
              <w:bottom w:w="0" w:type="dxa"/>
              <w:right w:w="108" w:type="dxa"/>
            </w:tcMar>
            <w:vAlign w:val="center"/>
            <w:hideMark/>
          </w:tcPr>
          <w:p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Prior approval required</w:t>
            </w:r>
          </w:p>
          <w:p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and refused</w:t>
            </w:r>
          </w:p>
        </w:tc>
      </w:tr>
      <w:tr w:rsidR="00126779" w:rsidRPr="00351DD4" w:rsidTr="00126779">
        <w:tc>
          <w:tcPr>
            <w:tcW w:w="1686" w:type="dxa"/>
            <w:vMerge/>
            <w:vAlign w:val="center"/>
            <w:hideMark/>
          </w:tcPr>
          <w:p w:rsidR="00126779" w:rsidRPr="00351DD4" w:rsidRDefault="00126779" w:rsidP="00126779">
            <w:pPr>
              <w:jc w:val="center"/>
              <w:rPr>
                <w:rFonts w:cs="Calibri"/>
                <w:b/>
                <w:bCs/>
                <w:color w:val="262626" w:themeColor="text1" w:themeTint="D9"/>
                <w:sz w:val="20"/>
                <w:szCs w:val="20"/>
              </w:rPr>
            </w:pPr>
          </w:p>
        </w:tc>
        <w:tc>
          <w:tcPr>
            <w:tcW w:w="1846" w:type="dxa"/>
            <w:shd w:val="clear" w:color="auto" w:fill="FDE9D9" w:themeFill="accent6" w:themeFillTint="33"/>
            <w:tcMar>
              <w:top w:w="0" w:type="dxa"/>
              <w:left w:w="108" w:type="dxa"/>
              <w:bottom w:w="0" w:type="dxa"/>
              <w:right w:w="108" w:type="dxa"/>
            </w:tcMar>
            <w:vAlign w:val="center"/>
            <w:hideMark/>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Applications</w:t>
            </w:r>
          </w:p>
        </w:tc>
        <w:tc>
          <w:tcPr>
            <w:tcW w:w="1847" w:type="dxa"/>
            <w:shd w:val="clear" w:color="auto" w:fill="FDE9D9" w:themeFill="accent6" w:themeFillTint="33"/>
            <w:tcMar>
              <w:top w:w="0" w:type="dxa"/>
              <w:left w:w="108" w:type="dxa"/>
              <w:bottom w:w="0" w:type="dxa"/>
              <w:right w:w="108" w:type="dxa"/>
            </w:tcMar>
            <w:vAlign w:val="center"/>
            <w:hideMark/>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dwellings proposed</w:t>
            </w:r>
          </w:p>
        </w:tc>
        <w:tc>
          <w:tcPr>
            <w:tcW w:w="1847" w:type="dxa"/>
            <w:shd w:val="clear" w:color="auto" w:fill="FDE9D9" w:themeFill="accent6" w:themeFillTint="33"/>
            <w:tcMar>
              <w:top w:w="0" w:type="dxa"/>
              <w:left w:w="108" w:type="dxa"/>
              <w:bottom w:w="0" w:type="dxa"/>
              <w:right w:w="108" w:type="dxa"/>
            </w:tcMar>
            <w:vAlign w:val="center"/>
            <w:hideMark/>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Applications</w:t>
            </w:r>
          </w:p>
        </w:tc>
        <w:tc>
          <w:tcPr>
            <w:tcW w:w="1847" w:type="dxa"/>
            <w:shd w:val="clear" w:color="auto" w:fill="FDE9D9" w:themeFill="accent6" w:themeFillTint="33"/>
            <w:vAlign w:val="center"/>
            <w:hideMark/>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dwellings proposed</w:t>
            </w:r>
          </w:p>
        </w:tc>
      </w:tr>
      <w:tr w:rsidR="00126779" w:rsidRPr="00351DD4" w:rsidTr="00126779">
        <w:trPr>
          <w:trHeight w:val="264"/>
        </w:trPr>
        <w:tc>
          <w:tcPr>
            <w:tcW w:w="1686" w:type="dxa"/>
            <w:tcMar>
              <w:top w:w="0" w:type="dxa"/>
              <w:left w:w="108" w:type="dxa"/>
              <w:bottom w:w="0" w:type="dxa"/>
              <w:right w:w="108" w:type="dxa"/>
            </w:tcMar>
            <w:vAlign w:val="center"/>
            <w:hideMark/>
          </w:tcPr>
          <w:p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2013/14</w:t>
            </w:r>
          </w:p>
        </w:tc>
        <w:tc>
          <w:tcPr>
            <w:tcW w:w="1846"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167</w:t>
            </w:r>
          </w:p>
        </w:tc>
        <w:tc>
          <w:tcPr>
            <w:tcW w:w="1847" w:type="dxa"/>
            <w:shd w:val="clear" w:color="auto" w:fill="FFFFFF"/>
            <w:tcMar>
              <w:top w:w="0" w:type="dxa"/>
              <w:left w:w="108" w:type="dxa"/>
              <w:bottom w:w="0" w:type="dxa"/>
              <w:right w:w="108" w:type="dxa"/>
            </w:tcMar>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4</w:t>
            </w:r>
          </w:p>
        </w:tc>
        <w:tc>
          <w:tcPr>
            <w:tcW w:w="1847" w:type="dxa"/>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70</w:t>
            </w:r>
          </w:p>
        </w:tc>
      </w:tr>
      <w:tr w:rsidR="00126779" w:rsidRPr="00351DD4" w:rsidTr="00126779">
        <w:tc>
          <w:tcPr>
            <w:tcW w:w="1686" w:type="dxa"/>
            <w:tcMar>
              <w:top w:w="0" w:type="dxa"/>
              <w:left w:w="108" w:type="dxa"/>
              <w:bottom w:w="0" w:type="dxa"/>
              <w:right w:w="108" w:type="dxa"/>
            </w:tcMar>
            <w:vAlign w:val="center"/>
            <w:hideMark/>
          </w:tcPr>
          <w:p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2014/15</w:t>
            </w:r>
          </w:p>
        </w:tc>
        <w:tc>
          <w:tcPr>
            <w:tcW w:w="1846"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64</w:t>
            </w:r>
          </w:p>
        </w:tc>
        <w:tc>
          <w:tcPr>
            <w:tcW w:w="1847" w:type="dxa"/>
            <w:shd w:val="clear" w:color="auto" w:fill="FFFFFF"/>
            <w:tcMar>
              <w:top w:w="0" w:type="dxa"/>
              <w:left w:w="108" w:type="dxa"/>
              <w:bottom w:w="0" w:type="dxa"/>
              <w:right w:w="108" w:type="dxa"/>
            </w:tcMa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1</w:t>
            </w:r>
          </w:p>
        </w:tc>
        <w:tc>
          <w:tcPr>
            <w:tcW w:w="1847" w:type="dxa"/>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1</w:t>
            </w:r>
          </w:p>
        </w:tc>
      </w:tr>
      <w:tr w:rsidR="00126779" w:rsidRPr="00351DD4" w:rsidTr="00126779">
        <w:tc>
          <w:tcPr>
            <w:tcW w:w="1686" w:type="dxa"/>
            <w:tcMar>
              <w:top w:w="0" w:type="dxa"/>
              <w:left w:w="108" w:type="dxa"/>
              <w:bottom w:w="0" w:type="dxa"/>
              <w:right w:w="108" w:type="dxa"/>
            </w:tcMar>
            <w:vAlign w:val="center"/>
            <w:hideMark/>
          </w:tcPr>
          <w:p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2015/16</w:t>
            </w:r>
          </w:p>
        </w:tc>
        <w:tc>
          <w:tcPr>
            <w:tcW w:w="1846"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10</w:t>
            </w:r>
          </w:p>
        </w:tc>
        <w:tc>
          <w:tcPr>
            <w:tcW w:w="1847"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39</w:t>
            </w:r>
          </w:p>
        </w:tc>
        <w:tc>
          <w:tcPr>
            <w:tcW w:w="1847" w:type="dxa"/>
            <w:shd w:val="clear" w:color="auto" w:fill="FFFFFF"/>
            <w:tcMar>
              <w:top w:w="0" w:type="dxa"/>
              <w:left w:w="108" w:type="dxa"/>
              <w:bottom w:w="0" w:type="dxa"/>
              <w:right w:w="108" w:type="dxa"/>
            </w:tcMar>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1</w:t>
            </w:r>
          </w:p>
        </w:tc>
        <w:tc>
          <w:tcPr>
            <w:tcW w:w="1847" w:type="dxa"/>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3</w:t>
            </w:r>
          </w:p>
        </w:tc>
      </w:tr>
      <w:tr w:rsidR="00126779" w:rsidRPr="00351DD4" w:rsidTr="00126779">
        <w:tc>
          <w:tcPr>
            <w:tcW w:w="1686" w:type="dxa"/>
            <w:tcMar>
              <w:top w:w="0" w:type="dxa"/>
              <w:left w:w="108" w:type="dxa"/>
              <w:bottom w:w="0" w:type="dxa"/>
              <w:right w:w="108" w:type="dxa"/>
            </w:tcMar>
            <w:vAlign w:val="center"/>
          </w:tcPr>
          <w:p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2016/17</w:t>
            </w:r>
          </w:p>
        </w:tc>
        <w:tc>
          <w:tcPr>
            <w:tcW w:w="1846"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113</w:t>
            </w:r>
          </w:p>
        </w:tc>
        <w:tc>
          <w:tcPr>
            <w:tcW w:w="1847" w:type="dxa"/>
            <w:shd w:val="clear" w:color="auto" w:fill="FFFFFF"/>
            <w:tcMar>
              <w:top w:w="0" w:type="dxa"/>
              <w:left w:w="108" w:type="dxa"/>
              <w:bottom w:w="0" w:type="dxa"/>
              <w:right w:w="108" w:type="dxa"/>
            </w:tcMar>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2</w:t>
            </w:r>
          </w:p>
        </w:tc>
        <w:tc>
          <w:tcPr>
            <w:tcW w:w="1847" w:type="dxa"/>
            <w:vAlign w:val="center"/>
          </w:tcPr>
          <w:p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96</w:t>
            </w:r>
          </w:p>
        </w:tc>
      </w:tr>
      <w:tr w:rsidR="00126779" w:rsidRPr="00351DD4" w:rsidTr="00126779">
        <w:tc>
          <w:tcPr>
            <w:tcW w:w="1686" w:type="dxa"/>
            <w:tcMar>
              <w:top w:w="0" w:type="dxa"/>
              <w:left w:w="108" w:type="dxa"/>
              <w:bottom w:w="0" w:type="dxa"/>
              <w:right w:w="108" w:type="dxa"/>
            </w:tcMar>
            <w:vAlign w:val="center"/>
          </w:tcPr>
          <w:p w:rsidR="00126779" w:rsidRPr="00351DD4" w:rsidRDefault="00126779" w:rsidP="00126779">
            <w:pPr>
              <w:jc w:val="center"/>
              <w:rPr>
                <w:rFonts w:cs="Calibri"/>
                <w:b/>
                <w:color w:val="262626" w:themeColor="text1" w:themeTint="D9"/>
                <w:sz w:val="20"/>
                <w:szCs w:val="20"/>
              </w:rPr>
            </w:pPr>
            <w:r>
              <w:rPr>
                <w:rFonts w:cs="Calibri"/>
                <w:b/>
                <w:color w:val="262626" w:themeColor="text1" w:themeTint="D9"/>
                <w:sz w:val="20"/>
                <w:szCs w:val="20"/>
              </w:rPr>
              <w:t>2017/18</w:t>
            </w:r>
          </w:p>
        </w:tc>
        <w:tc>
          <w:tcPr>
            <w:tcW w:w="1846"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Pr>
                <w:rFonts w:cs="Calibri"/>
                <w:color w:val="262626" w:themeColor="text1" w:themeTint="D9"/>
                <w:sz w:val="20"/>
                <w:szCs w:val="20"/>
              </w:rPr>
              <w:t>3</w:t>
            </w:r>
          </w:p>
        </w:tc>
        <w:tc>
          <w:tcPr>
            <w:tcW w:w="1847" w:type="dxa"/>
            <w:tcMar>
              <w:top w:w="0" w:type="dxa"/>
              <w:left w:w="108" w:type="dxa"/>
              <w:bottom w:w="0" w:type="dxa"/>
              <w:right w:w="108" w:type="dxa"/>
            </w:tcMar>
            <w:vAlign w:val="center"/>
          </w:tcPr>
          <w:p w:rsidR="00126779" w:rsidRPr="00351DD4" w:rsidRDefault="00126779" w:rsidP="00126779">
            <w:pPr>
              <w:jc w:val="center"/>
              <w:rPr>
                <w:rFonts w:cs="Calibri"/>
                <w:color w:val="262626" w:themeColor="text1" w:themeTint="D9"/>
                <w:sz w:val="20"/>
                <w:szCs w:val="20"/>
              </w:rPr>
            </w:pPr>
            <w:r>
              <w:rPr>
                <w:rFonts w:cs="Calibri"/>
                <w:color w:val="262626" w:themeColor="text1" w:themeTint="D9"/>
                <w:sz w:val="20"/>
                <w:szCs w:val="20"/>
              </w:rPr>
              <w:t xml:space="preserve">141 </w:t>
            </w:r>
          </w:p>
        </w:tc>
        <w:tc>
          <w:tcPr>
            <w:tcW w:w="1847" w:type="dxa"/>
            <w:shd w:val="clear" w:color="auto" w:fill="FFFFFF"/>
            <w:tcMar>
              <w:top w:w="0" w:type="dxa"/>
              <w:left w:w="108" w:type="dxa"/>
              <w:bottom w:w="0" w:type="dxa"/>
              <w:right w:w="108" w:type="dxa"/>
            </w:tcMar>
            <w:vAlign w:val="center"/>
          </w:tcPr>
          <w:p w:rsidR="00126779" w:rsidRPr="00351DD4" w:rsidRDefault="00126779" w:rsidP="00126779">
            <w:pPr>
              <w:spacing w:before="60" w:after="60"/>
              <w:jc w:val="center"/>
              <w:rPr>
                <w:rFonts w:cs="Calibri"/>
                <w:color w:val="262626" w:themeColor="text1" w:themeTint="D9"/>
                <w:sz w:val="20"/>
                <w:szCs w:val="20"/>
              </w:rPr>
            </w:pPr>
            <w:r>
              <w:rPr>
                <w:rFonts w:cs="Calibri"/>
                <w:color w:val="262626" w:themeColor="text1" w:themeTint="D9"/>
                <w:sz w:val="20"/>
                <w:szCs w:val="20"/>
              </w:rPr>
              <w:t>0</w:t>
            </w:r>
          </w:p>
        </w:tc>
        <w:tc>
          <w:tcPr>
            <w:tcW w:w="1847" w:type="dxa"/>
            <w:vAlign w:val="center"/>
          </w:tcPr>
          <w:p w:rsidR="00126779" w:rsidRPr="00351DD4" w:rsidRDefault="00126779" w:rsidP="00126779">
            <w:pPr>
              <w:spacing w:before="60" w:after="60"/>
              <w:jc w:val="center"/>
              <w:rPr>
                <w:rFonts w:cs="Calibri"/>
                <w:color w:val="262626" w:themeColor="text1" w:themeTint="D9"/>
                <w:sz w:val="20"/>
                <w:szCs w:val="20"/>
              </w:rPr>
            </w:pPr>
            <w:r>
              <w:rPr>
                <w:rFonts w:cs="Calibri"/>
                <w:color w:val="262626" w:themeColor="text1" w:themeTint="D9"/>
                <w:sz w:val="20"/>
                <w:szCs w:val="20"/>
              </w:rPr>
              <w:t>0</w:t>
            </w:r>
          </w:p>
        </w:tc>
      </w:tr>
      <w:tr w:rsidR="00126779" w:rsidRPr="00351DD4" w:rsidTr="00126779">
        <w:tc>
          <w:tcPr>
            <w:tcW w:w="1686" w:type="dxa"/>
            <w:shd w:val="clear" w:color="auto" w:fill="FDE9D9" w:themeFill="accent6" w:themeFillTint="33"/>
            <w:tcMar>
              <w:top w:w="0" w:type="dxa"/>
              <w:left w:w="108" w:type="dxa"/>
              <w:bottom w:w="0" w:type="dxa"/>
              <w:right w:w="108" w:type="dxa"/>
            </w:tcMar>
            <w:vAlign w:val="center"/>
            <w:hideMark/>
          </w:tcPr>
          <w:p w:rsidR="00126779" w:rsidRPr="000A3677" w:rsidRDefault="00126779" w:rsidP="00126779">
            <w:pPr>
              <w:jc w:val="center"/>
              <w:rPr>
                <w:rFonts w:cs="Calibri"/>
                <w:b/>
                <w:color w:val="262626" w:themeColor="text1" w:themeTint="D9"/>
                <w:sz w:val="20"/>
                <w:szCs w:val="20"/>
              </w:rPr>
            </w:pPr>
            <w:r w:rsidRPr="000A3677">
              <w:rPr>
                <w:rFonts w:cs="Calibri"/>
                <w:b/>
                <w:color w:val="262626" w:themeColor="text1" w:themeTint="D9"/>
                <w:sz w:val="20"/>
                <w:szCs w:val="20"/>
              </w:rPr>
              <w:t>Totals</w:t>
            </w:r>
          </w:p>
        </w:tc>
        <w:tc>
          <w:tcPr>
            <w:tcW w:w="1846" w:type="dxa"/>
            <w:shd w:val="clear" w:color="auto" w:fill="FDE9D9" w:themeFill="accent6" w:themeFillTint="33"/>
            <w:tcMar>
              <w:top w:w="0" w:type="dxa"/>
              <w:left w:w="108" w:type="dxa"/>
              <w:bottom w:w="0" w:type="dxa"/>
              <w:right w:w="108" w:type="dxa"/>
            </w:tcMar>
            <w:vAlign w:val="center"/>
          </w:tcPr>
          <w:p w:rsidR="00126779" w:rsidRPr="000A3677" w:rsidRDefault="00126779" w:rsidP="00126779">
            <w:pPr>
              <w:jc w:val="center"/>
              <w:rPr>
                <w:rFonts w:cs="Calibri"/>
                <w:b/>
                <w:color w:val="262626" w:themeColor="text1" w:themeTint="D9"/>
                <w:sz w:val="20"/>
                <w:szCs w:val="20"/>
              </w:rPr>
            </w:pPr>
            <w:r w:rsidRPr="000A3677">
              <w:rPr>
                <w:rFonts w:cs="Calibri"/>
                <w:b/>
                <w:color w:val="262626" w:themeColor="text1" w:themeTint="D9"/>
                <w:sz w:val="20"/>
                <w:szCs w:val="20"/>
              </w:rPr>
              <w:t>40</w:t>
            </w:r>
          </w:p>
        </w:tc>
        <w:tc>
          <w:tcPr>
            <w:tcW w:w="1847" w:type="dxa"/>
            <w:shd w:val="clear" w:color="auto" w:fill="FDE9D9" w:themeFill="accent6" w:themeFillTint="33"/>
            <w:tcMar>
              <w:top w:w="0" w:type="dxa"/>
              <w:left w:w="108" w:type="dxa"/>
              <w:bottom w:w="0" w:type="dxa"/>
              <w:right w:w="108" w:type="dxa"/>
            </w:tcMar>
            <w:vAlign w:val="center"/>
          </w:tcPr>
          <w:p w:rsidR="00126779" w:rsidRPr="000A3677" w:rsidRDefault="00126779" w:rsidP="00126779">
            <w:pPr>
              <w:jc w:val="center"/>
              <w:rPr>
                <w:rFonts w:cs="Calibri"/>
                <w:b/>
                <w:color w:val="262626" w:themeColor="text1" w:themeTint="D9"/>
                <w:sz w:val="20"/>
                <w:szCs w:val="20"/>
              </w:rPr>
            </w:pPr>
            <w:r>
              <w:rPr>
                <w:rFonts w:cs="Calibri"/>
                <w:b/>
                <w:color w:val="262626" w:themeColor="text1" w:themeTint="D9"/>
                <w:sz w:val="20"/>
                <w:szCs w:val="20"/>
              </w:rPr>
              <w:t>524</w:t>
            </w:r>
          </w:p>
        </w:tc>
        <w:tc>
          <w:tcPr>
            <w:tcW w:w="1847" w:type="dxa"/>
            <w:shd w:val="clear" w:color="auto" w:fill="FDE9D9" w:themeFill="accent6" w:themeFillTint="33"/>
            <w:tcMar>
              <w:top w:w="0" w:type="dxa"/>
              <w:left w:w="108" w:type="dxa"/>
              <w:bottom w:w="0" w:type="dxa"/>
              <w:right w:w="108" w:type="dxa"/>
            </w:tcMar>
          </w:tcPr>
          <w:p w:rsidR="00126779" w:rsidRPr="000A3677" w:rsidRDefault="00126779" w:rsidP="00126779">
            <w:pPr>
              <w:spacing w:before="60" w:after="60"/>
              <w:jc w:val="center"/>
              <w:rPr>
                <w:rFonts w:cs="Calibri"/>
                <w:b/>
                <w:color w:val="262626" w:themeColor="text1" w:themeTint="D9"/>
                <w:sz w:val="20"/>
                <w:szCs w:val="20"/>
              </w:rPr>
            </w:pPr>
            <w:r w:rsidRPr="000A3677">
              <w:rPr>
                <w:rFonts w:cs="Calibri"/>
                <w:b/>
                <w:color w:val="262626" w:themeColor="text1" w:themeTint="D9"/>
                <w:sz w:val="20"/>
                <w:szCs w:val="20"/>
              </w:rPr>
              <w:t>8</w:t>
            </w:r>
          </w:p>
        </w:tc>
        <w:tc>
          <w:tcPr>
            <w:tcW w:w="1847" w:type="dxa"/>
            <w:shd w:val="clear" w:color="auto" w:fill="FDE9D9" w:themeFill="accent6" w:themeFillTint="33"/>
            <w:vAlign w:val="center"/>
          </w:tcPr>
          <w:p w:rsidR="00126779" w:rsidRPr="000A3677" w:rsidRDefault="00126779" w:rsidP="00126779">
            <w:pPr>
              <w:spacing w:before="60" w:after="60"/>
              <w:jc w:val="center"/>
              <w:rPr>
                <w:rFonts w:cs="Calibri"/>
                <w:b/>
                <w:color w:val="262626" w:themeColor="text1" w:themeTint="D9"/>
                <w:sz w:val="20"/>
                <w:szCs w:val="20"/>
              </w:rPr>
            </w:pPr>
            <w:r w:rsidRPr="000A3677">
              <w:rPr>
                <w:rFonts w:cs="Calibri"/>
                <w:b/>
                <w:color w:val="262626" w:themeColor="text1" w:themeTint="D9"/>
                <w:sz w:val="20"/>
                <w:szCs w:val="20"/>
              </w:rPr>
              <w:t>170</w:t>
            </w:r>
          </w:p>
        </w:tc>
      </w:tr>
    </w:tbl>
    <w:p w:rsidR="00126779" w:rsidRPr="00351DD4" w:rsidRDefault="00126779" w:rsidP="00126779">
      <w:pPr>
        <w:autoSpaceDE w:val="0"/>
        <w:autoSpaceDN w:val="0"/>
        <w:adjustRightInd w:val="0"/>
        <w:spacing w:after="200" w:line="276" w:lineRule="auto"/>
        <w:ind w:left="567" w:right="-46"/>
        <w:jc w:val="center"/>
        <w:rPr>
          <w:sz w:val="20"/>
          <w:szCs w:val="20"/>
        </w:rPr>
      </w:pPr>
      <w:r w:rsidRPr="00351DD4">
        <w:rPr>
          <w:rFonts w:eastAsia="Calibri" w:cs="Calibri"/>
          <w:b/>
          <w:color w:val="000000"/>
          <w:sz w:val="20"/>
          <w:szCs w:val="20"/>
        </w:rPr>
        <w:t xml:space="preserve">Table 15: </w:t>
      </w:r>
      <w:r w:rsidRPr="00351DD4">
        <w:rPr>
          <w:sz w:val="20"/>
          <w:szCs w:val="20"/>
        </w:rPr>
        <w:t>B1a office to C3 residential prior approval decisions 2013/14- 201</w:t>
      </w:r>
      <w:r>
        <w:rPr>
          <w:sz w:val="20"/>
          <w:szCs w:val="20"/>
        </w:rPr>
        <w:t>7</w:t>
      </w:r>
      <w:r w:rsidRPr="00351DD4">
        <w:rPr>
          <w:sz w:val="20"/>
          <w:szCs w:val="20"/>
        </w:rPr>
        <w:t>/1</w:t>
      </w:r>
      <w:r>
        <w:rPr>
          <w:sz w:val="20"/>
          <w:szCs w:val="20"/>
        </w:rPr>
        <w:t>8</w:t>
      </w:r>
    </w:p>
    <w:p w:rsidR="00126779"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lastRenderedPageBreak/>
        <w:t xml:space="preserve">As table 15 shows, the number of dwellings permitted through B1a office to C3 residential prior approval applications has fluctuated since the system was introduced in 2013/14. This is normal for </w:t>
      </w:r>
      <w:proofErr w:type="gramStart"/>
      <w:r w:rsidRPr="00351DD4">
        <w:rPr>
          <w:rFonts w:eastAsia="Calibri" w:cs="Calibri"/>
          <w:szCs w:val="22"/>
        </w:rPr>
        <w:t>a</w:t>
      </w:r>
      <w:proofErr w:type="gramEnd"/>
      <w:r w:rsidRPr="00351DD4">
        <w:rPr>
          <w:rFonts w:eastAsia="Calibri" w:cs="Calibri"/>
          <w:szCs w:val="22"/>
        </w:rPr>
        <w:t xml:space="preserve"> urban area such as Oxford.</w:t>
      </w:r>
    </w:p>
    <w:p w:rsidR="00626765" w:rsidRDefault="00626765" w:rsidP="00626765">
      <w:pPr>
        <w:autoSpaceDE w:val="0"/>
        <w:autoSpaceDN w:val="0"/>
        <w:adjustRightInd w:val="0"/>
        <w:spacing w:after="200" w:line="276" w:lineRule="auto"/>
        <w:ind w:right="-46"/>
        <w:jc w:val="both"/>
        <w:rPr>
          <w:rFonts w:eastAsia="Calibri" w:cs="Calibri"/>
          <w:szCs w:val="22"/>
        </w:rPr>
      </w:pPr>
    </w:p>
    <w:p w:rsidR="00626765" w:rsidRPr="00351DD4" w:rsidRDefault="00626765" w:rsidP="00626765">
      <w:pPr>
        <w:autoSpaceDE w:val="0"/>
        <w:autoSpaceDN w:val="0"/>
        <w:adjustRightInd w:val="0"/>
        <w:spacing w:after="200" w:line="276" w:lineRule="auto"/>
        <w:ind w:right="-46"/>
        <w:jc w:val="both"/>
        <w:rPr>
          <w:rFonts w:eastAsia="Calibri" w:cs="Calibri"/>
          <w:szCs w:val="22"/>
        </w:rPr>
      </w:pPr>
    </w:p>
    <w:bookmarkStart w:id="19" w:name="_Toc529178349"/>
    <w:p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7696" behindDoc="1" locked="0" layoutInCell="1" allowOverlap="1" wp14:anchorId="167CF7CD" wp14:editId="533B36D5">
                <wp:simplePos x="0" y="0"/>
                <wp:positionH relativeFrom="column">
                  <wp:posOffset>-66675</wp:posOffset>
                </wp:positionH>
                <wp:positionV relativeFrom="paragraph">
                  <wp:posOffset>-1270</wp:posOffset>
                </wp:positionV>
                <wp:extent cx="5875655" cy="1609090"/>
                <wp:effectExtent l="0" t="0" r="0" b="0"/>
                <wp:wrapNone/>
                <wp:docPr id="54" name="Rectangle 54"/>
                <wp:cNvGraphicFramePr/>
                <a:graphic xmlns:a="http://schemas.openxmlformats.org/drawingml/2006/main">
                  <a:graphicData uri="http://schemas.microsoft.com/office/word/2010/wordprocessingShape">
                    <wps:wsp>
                      <wps:cNvSpPr/>
                      <wps:spPr>
                        <a:xfrm>
                          <a:off x="0" y="0"/>
                          <a:ext cx="5875655" cy="160909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768E1D" id="Rectangle 54" o:spid="_x0000_s1026" style="position:absolute;margin-left:-5.25pt;margin-top:-.1pt;width:462.65pt;height:12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" fillcolor="#fcd5b5" stroked="f" strokeweight="2pt"/>
            </w:pict>
          </mc:Fallback>
        </mc:AlternateContent>
      </w:r>
      <w:r w:rsidRPr="00351DD4">
        <w:rPr>
          <w:rFonts w:asciiTheme="minorHAnsi" w:hAnsiTheme="minorHAnsi"/>
          <w:b/>
          <w:lang w:eastAsia="en-GB"/>
        </w:rPr>
        <w:t>Indicator 13: CHANGES OF USE FROM EXISTING HOMES (PERMISSIONS)</w:t>
      </w:r>
      <w:bookmarkEnd w:id="19"/>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ind w:left="709" w:hanging="709"/>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100% of planning permissions granted in Oxford to result in no net loss of a whole self-contained residential unit to any other use. </w:t>
      </w:r>
      <w:proofErr w:type="gramStart"/>
      <w:r w:rsidRPr="00351DD4">
        <w:rPr>
          <w:rFonts w:eastAsia="Calibri" w:cs="Calibri"/>
          <w:color w:val="984806" w:themeColor="accent6" w:themeShade="80"/>
          <w:szCs w:val="22"/>
        </w:rPr>
        <w:t>AMR to report only on the number of known cases not complying with the policy.</w:t>
      </w:r>
      <w:proofErr w:type="gramEnd"/>
      <w:r w:rsidRPr="00351DD4">
        <w:rPr>
          <w:rFonts w:eastAsia="Calibri" w:cs="Calibri"/>
          <w:color w:val="984806" w:themeColor="accent6" w:themeShade="80"/>
          <w:szCs w:val="22"/>
        </w:rPr>
        <w:t xml:space="preserve"> </w:t>
      </w:r>
      <w:r w:rsidRPr="00351DD4">
        <w:rPr>
          <w:rFonts w:eastAsia="Calibri" w:cs="Calibri"/>
          <w:color w:val="984806" w:themeColor="accent6" w:themeShade="80"/>
          <w:sz w:val="20"/>
          <w:szCs w:val="22"/>
        </w:rPr>
        <w:t>(Sites and Housing Plan Policy HP1)</w:t>
      </w:r>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rsidTr="00126779">
        <w:trPr>
          <w:trHeight w:val="218"/>
        </w:trPr>
        <w:tc>
          <w:tcPr>
            <w:tcW w:w="5420" w:type="dxa"/>
          </w:tcPr>
          <w:p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Performance against target 201</w:t>
            </w:r>
            <w:r>
              <w:rPr>
                <w:rFonts w:eastAsia="Calibri" w:cs="Calibri"/>
                <w:b/>
                <w:color w:val="984806" w:themeColor="accent6" w:themeShade="80"/>
              </w:rPr>
              <w:t>7</w:t>
            </w:r>
            <w:r w:rsidRPr="00351DD4">
              <w:rPr>
                <w:rFonts w:eastAsia="Calibri" w:cs="Calibri"/>
                <w:b/>
                <w:color w:val="984806" w:themeColor="accent6" w:themeShade="80"/>
              </w:rPr>
              <w:t>/1</w:t>
            </w:r>
            <w:r>
              <w:rPr>
                <w:rFonts w:eastAsia="Calibri" w:cs="Calibri"/>
                <w:b/>
                <w:color w:val="984806" w:themeColor="accent6" w:themeShade="80"/>
              </w:rPr>
              <w:t>8</w:t>
            </w:r>
            <w:r w:rsidRPr="00351DD4">
              <w:rPr>
                <w:rFonts w:eastAsia="Calibri" w:cs="Calibri"/>
                <w:b/>
                <w:color w:val="984806" w:themeColor="accent6" w:themeShade="80"/>
              </w:rPr>
              <w:t>:</w:t>
            </w:r>
          </w:p>
        </w:tc>
        <w:tc>
          <w:tcPr>
            <w:tcW w:w="3714"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c>
          <w:tcPr>
            <w:tcW w:w="5420" w:type="dxa"/>
          </w:tcPr>
          <w:p w:rsidR="00126779" w:rsidRPr="00351DD4" w:rsidRDefault="00126779" w:rsidP="00126779">
            <w:pPr>
              <w:autoSpaceDE w:val="0"/>
              <w:autoSpaceDN w:val="0"/>
              <w:adjustRightInd w:val="0"/>
              <w:jc w:val="center"/>
              <w:rPr>
                <w:b/>
                <w:noProof/>
                <w:sz w:val="4"/>
                <w:szCs w:val="4"/>
                <w:lang w:eastAsia="en-GB"/>
              </w:rPr>
            </w:pPr>
          </w:p>
          <w:p w:rsidR="00126779" w:rsidRPr="00351DD4" w:rsidRDefault="00126779" w:rsidP="00126779">
            <w:pPr>
              <w:autoSpaceDE w:val="0"/>
              <w:autoSpaceDN w:val="0"/>
              <w:adjustRightInd w:val="0"/>
              <w:jc w:val="center"/>
              <w:rPr>
                <w:rFonts w:eastAsia="Calibri" w:cs="Calibri"/>
                <w:b/>
                <w:color w:val="984806" w:themeColor="accent6" w:themeShade="80"/>
                <w:szCs w:val="8"/>
              </w:rPr>
            </w:pPr>
            <w:r w:rsidRPr="00351DD4">
              <w:rPr>
                <w:b/>
                <w:noProof/>
                <w:sz w:val="28"/>
                <w:szCs w:val="32"/>
                <w:lang w:eastAsia="en-GB"/>
              </w:rPr>
              <w:drawing>
                <wp:inline distT="0" distB="0" distL="0" distR="0" wp14:anchorId="21B36E89" wp14:editId="7BA4397C">
                  <wp:extent cx="1390650" cy="433702"/>
                  <wp:effectExtent l="0" t="0" r="0" b="5080"/>
                  <wp:docPr id="229" name="Picture 22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p w:rsidR="00126779" w:rsidRPr="00351DD4" w:rsidRDefault="00126779" w:rsidP="00126779">
            <w:pPr>
              <w:autoSpaceDE w:val="0"/>
              <w:autoSpaceDN w:val="0"/>
              <w:adjustRightInd w:val="0"/>
              <w:rPr>
                <w:rFonts w:eastAsia="Calibri" w:cs="Calibri"/>
                <w:color w:val="984806" w:themeColor="accent6" w:themeShade="80"/>
                <w:szCs w:val="12"/>
              </w:rPr>
            </w:pP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6</w:t>
            </w:r>
            <w:r w:rsidRPr="00351DD4">
              <w:rPr>
                <w:rFonts w:eastAsia="Calibri" w:cs="Calibri"/>
                <w:b/>
                <w:color w:val="984806" w:themeColor="accent6" w:themeShade="80"/>
              </w:rPr>
              <w:t>/1</w:t>
            </w:r>
            <w:r>
              <w:rPr>
                <w:rFonts w:eastAsia="Calibri" w:cs="Calibri"/>
                <w:b/>
                <w:color w:val="984806" w:themeColor="accent6" w:themeShade="80"/>
              </w:rPr>
              <w:t>7</w:t>
            </w:r>
            <w:r w:rsidRPr="00351DD4">
              <w:rPr>
                <w:rFonts w:eastAsia="Calibri" w:cs="Calibri"/>
                <w:b/>
                <w:color w:val="984806" w:themeColor="accent6" w:themeShade="80"/>
              </w:rPr>
              <w:t>:</w:t>
            </w:r>
          </w:p>
          <w:p w:rsidR="00126779" w:rsidRPr="00351DD4" w:rsidRDefault="00126779" w:rsidP="00126779">
            <w:pPr>
              <w:autoSpaceDE w:val="0"/>
              <w:autoSpaceDN w:val="0"/>
              <w:adjustRightInd w:val="0"/>
              <w:rPr>
                <w:rFonts w:eastAsia="Calibri" w:cs="Calibri"/>
                <w:b/>
                <w:color w:val="984806" w:themeColor="accent6" w:themeShade="80"/>
                <w:szCs w:val="8"/>
              </w:rPr>
            </w:pPr>
          </w:p>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5</w:t>
            </w:r>
            <w:r w:rsidRPr="00351DD4">
              <w:rPr>
                <w:rFonts w:eastAsia="Calibri" w:cs="Calibri"/>
                <w:b/>
                <w:color w:val="984806" w:themeColor="accent6" w:themeShade="80"/>
              </w:rPr>
              <w:t>/1</w:t>
            </w:r>
            <w:r>
              <w:rPr>
                <w:rFonts w:eastAsia="Calibri" w:cs="Calibri"/>
                <w:b/>
                <w:color w:val="984806" w:themeColor="accent6" w:themeShade="80"/>
              </w:rPr>
              <w:t>6</w:t>
            </w:r>
            <w:r w:rsidRPr="00351DD4">
              <w:rPr>
                <w:rFonts w:eastAsia="Calibri" w:cs="Calibri"/>
                <w:b/>
                <w:color w:val="984806" w:themeColor="accent6" w:themeShade="80"/>
              </w:rPr>
              <w:t>:</w:t>
            </w:r>
          </w:p>
          <w:p w:rsidR="00126779" w:rsidRPr="00351DD4" w:rsidRDefault="00126779" w:rsidP="00126779">
            <w:pPr>
              <w:autoSpaceDE w:val="0"/>
              <w:autoSpaceDN w:val="0"/>
              <w:adjustRightInd w:val="0"/>
              <w:rPr>
                <w:rFonts w:eastAsia="Calibri" w:cs="Calibri"/>
                <w:b/>
                <w:color w:val="984806" w:themeColor="accent6" w:themeShade="80"/>
              </w:rPr>
            </w:pPr>
          </w:p>
        </w:tc>
        <w:tc>
          <w:tcPr>
            <w:tcW w:w="2613" w:type="dxa"/>
          </w:tcPr>
          <w:p w:rsidR="00126779" w:rsidRPr="00351DD4" w:rsidRDefault="00126779" w:rsidP="00126779">
            <w:pPr>
              <w:autoSpaceDE w:val="0"/>
              <w:autoSpaceDN w:val="0"/>
              <w:adjustRightInd w:val="0"/>
              <w:rPr>
                <w:rFonts w:eastAsia="Calibri" w:cs="Calibri"/>
                <w:color w:val="984806" w:themeColor="accent6" w:themeShade="80"/>
                <w:sz w:val="8"/>
                <w:szCs w:val="8"/>
              </w:rPr>
            </w:pPr>
            <w:r w:rsidRPr="00351DD4">
              <w:rPr>
                <w:b/>
                <w:noProof/>
                <w:sz w:val="32"/>
                <w:szCs w:val="32"/>
                <w:lang w:eastAsia="en-GB"/>
              </w:rPr>
              <w:t xml:space="preserve"> </w:t>
            </w:r>
            <w:r w:rsidRPr="00351DD4">
              <w:rPr>
                <w:b/>
                <w:noProof/>
                <w:sz w:val="32"/>
                <w:szCs w:val="32"/>
                <w:lang w:eastAsia="en-GB"/>
              </w:rPr>
              <w:drawing>
                <wp:inline distT="0" distB="0" distL="0" distR="0" wp14:anchorId="663E4155" wp14:editId="7D5D3A4F">
                  <wp:extent cx="819509" cy="255580"/>
                  <wp:effectExtent l="0" t="0" r="0" b="0"/>
                  <wp:docPr id="230" name="Picture 23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126779" w:rsidRPr="00351DD4" w:rsidRDefault="00126779" w:rsidP="00126779">
            <w:pPr>
              <w:autoSpaceDE w:val="0"/>
              <w:autoSpaceDN w:val="0"/>
              <w:adjustRightInd w:val="0"/>
              <w:rPr>
                <w:rFonts w:eastAsia="Calibri" w:cs="Calibri"/>
                <w:b/>
                <w:color w:val="984806" w:themeColor="accent6" w:themeShade="80"/>
                <w:sz w:val="8"/>
                <w:szCs w:val="8"/>
              </w:rPr>
            </w:pPr>
            <w:r w:rsidRPr="00351DD4">
              <w:rPr>
                <w:rFonts w:eastAsia="Calibri" w:cs="Calibri"/>
                <w:b/>
                <w:color w:val="984806" w:themeColor="accent6" w:themeShade="80"/>
                <w:sz w:val="8"/>
                <w:szCs w:val="8"/>
              </w:rPr>
              <w:t xml:space="preserve">    </w:t>
            </w:r>
            <w:r w:rsidRPr="00351DD4">
              <w:rPr>
                <w:b/>
                <w:noProof/>
                <w:sz w:val="32"/>
                <w:szCs w:val="32"/>
                <w:lang w:eastAsia="en-GB"/>
              </w:rPr>
              <w:drawing>
                <wp:inline distT="0" distB="0" distL="0" distR="0" wp14:anchorId="7C92E022" wp14:editId="29AD66B9">
                  <wp:extent cx="819509" cy="255580"/>
                  <wp:effectExtent l="0" t="0" r="0" b="0"/>
                  <wp:docPr id="231" name="Picture 23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126779" w:rsidRPr="00351DD4" w:rsidRDefault="00126779" w:rsidP="00126779">
      <w:pPr>
        <w:autoSpaceDE w:val="0"/>
        <w:autoSpaceDN w:val="0"/>
        <w:adjustRightInd w:val="0"/>
        <w:spacing w:line="276" w:lineRule="auto"/>
        <w:ind w:right="-45"/>
        <w:jc w:val="both"/>
        <w:rPr>
          <w:rFonts w:eastAsia="Calibri" w:cs="Calibri"/>
          <w:sz w:val="4"/>
          <w:szCs w:val="4"/>
        </w:rPr>
      </w:pP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The benefits of building new homes in the city would be undermined if the stock of existing housing were to be reduced through loss to other uses. Sites and Housing Plan Policy HP1 therefore seeks to protect existing homes within the city.</w:t>
      </w:r>
    </w:p>
    <w:p w:rsidR="00126779" w:rsidRPr="00AB3D3F"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AB3D3F">
        <w:rPr>
          <w:rFonts w:eastAsia="Calibri" w:cs="Calibri"/>
          <w:szCs w:val="22"/>
        </w:rPr>
        <w:t>In the 2017/18 monitoring year, one planning application was granted permission where development would result in a total net loss of one C3 residential dwelling.  This application involved the conversion of the existing building to a bedsit and student accommodation.  The application was assessed against Policy HP1, taking into account other material considerations such as the quality of the residential accommodation and space standards.</w:t>
      </w:r>
    </w:p>
    <w:bookmarkStart w:id="20" w:name="_Toc529178350"/>
    <w:p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lang w:eastAsia="en-GB"/>
        </w:rPr>
        <mc:AlternateContent>
          <mc:Choice Requires="wps">
            <w:drawing>
              <wp:anchor distT="0" distB="0" distL="114300" distR="114300" simplePos="0" relativeHeight="251678720" behindDoc="1" locked="0" layoutInCell="1" allowOverlap="1" wp14:anchorId="7C4A901C" wp14:editId="53877842">
                <wp:simplePos x="0" y="0"/>
                <wp:positionH relativeFrom="column">
                  <wp:posOffset>-66675</wp:posOffset>
                </wp:positionH>
                <wp:positionV relativeFrom="paragraph">
                  <wp:posOffset>8890</wp:posOffset>
                </wp:positionV>
                <wp:extent cx="5875655" cy="1638300"/>
                <wp:effectExtent l="0" t="0" r="0" b="0"/>
                <wp:wrapNone/>
                <wp:docPr id="67" name="Rectangle 67"/>
                <wp:cNvGraphicFramePr/>
                <a:graphic xmlns:a="http://schemas.openxmlformats.org/drawingml/2006/main">
                  <a:graphicData uri="http://schemas.microsoft.com/office/word/2010/wordprocessingShape">
                    <wps:wsp>
                      <wps:cNvSpPr/>
                      <wps:spPr>
                        <a:xfrm>
                          <a:off x="0" y="0"/>
                          <a:ext cx="5875655" cy="16383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AEA720" id="Rectangle 67" o:spid="_x0000_s1026" style="position:absolute;margin-left:-5.25pt;margin-top:.7pt;width:462.65pt;height:1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" fillcolor="#fcd5b5" stroked="f" strokeweight="2pt"/>
            </w:pict>
          </mc:Fallback>
        </mc:AlternateContent>
      </w:r>
      <w:r w:rsidRPr="00351DD4">
        <w:rPr>
          <w:rFonts w:asciiTheme="minorHAnsi" w:hAnsiTheme="minorHAnsi"/>
          <w:b/>
          <w:lang w:eastAsia="en-GB"/>
        </w:rPr>
        <w:t>Indicator 14: RESIDENTIAL DEVELOPMENT COMPLETED ON PREVIOUSLY DEVELOPED LAND</w:t>
      </w:r>
      <w:bookmarkEnd w:id="20"/>
    </w:p>
    <w:p w:rsidR="00126779" w:rsidRPr="00351DD4" w:rsidRDefault="00126779" w:rsidP="00126779">
      <w:pPr>
        <w:autoSpaceDE w:val="0"/>
        <w:autoSpaceDN w:val="0"/>
        <w:adjustRightInd w:val="0"/>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Target: 90% or more of new dwellings on previously developed land (2009-2014)</w:t>
      </w: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            </w:t>
      </w:r>
      <w:r w:rsidRPr="00351DD4">
        <w:rPr>
          <w:rFonts w:eastAsia="Calibri" w:cs="Calibri"/>
          <w:b/>
          <w:color w:val="984806" w:themeColor="accent6" w:themeShade="80"/>
          <w:szCs w:val="22"/>
        </w:rPr>
        <w:tab/>
        <w:t>75% or more of new dwellings on previously developed land (2014-2026)</w:t>
      </w: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color w:val="984806" w:themeColor="accent6" w:themeShade="80"/>
          <w:sz w:val="20"/>
          <w:szCs w:val="22"/>
        </w:rPr>
        <w:t xml:space="preserve">               (Oxford Core Strategy Policy CS2)</w:t>
      </w:r>
    </w:p>
    <w:p w:rsidR="00126779" w:rsidRPr="00351DD4"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rsidTr="00126779">
        <w:trPr>
          <w:trHeight w:val="218"/>
        </w:trPr>
        <w:tc>
          <w:tcPr>
            <w:tcW w:w="5420" w:type="dxa"/>
          </w:tcPr>
          <w:p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Performance against target 201</w:t>
            </w:r>
            <w:r>
              <w:rPr>
                <w:rFonts w:eastAsia="Calibri" w:cs="Calibri"/>
                <w:b/>
                <w:color w:val="984806" w:themeColor="accent6" w:themeShade="80"/>
              </w:rPr>
              <w:t>7</w:t>
            </w:r>
            <w:r w:rsidRPr="00351DD4">
              <w:rPr>
                <w:rFonts w:eastAsia="Calibri" w:cs="Calibri"/>
                <w:b/>
                <w:color w:val="984806" w:themeColor="accent6" w:themeShade="80"/>
              </w:rPr>
              <w:t>/1</w:t>
            </w:r>
            <w:r>
              <w:rPr>
                <w:rFonts w:eastAsia="Calibri" w:cs="Calibri"/>
                <w:b/>
                <w:color w:val="984806" w:themeColor="accent6" w:themeShade="80"/>
              </w:rPr>
              <w:t>8</w:t>
            </w:r>
            <w:r w:rsidRPr="00351DD4">
              <w:rPr>
                <w:rFonts w:eastAsia="Calibri" w:cs="Calibri"/>
                <w:b/>
                <w:color w:val="984806" w:themeColor="accent6" w:themeShade="80"/>
              </w:rPr>
              <w:t>:</w:t>
            </w:r>
          </w:p>
        </w:tc>
        <w:tc>
          <w:tcPr>
            <w:tcW w:w="3714"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c>
          <w:tcPr>
            <w:tcW w:w="5420" w:type="dxa"/>
            <w:vMerge w:val="restart"/>
          </w:tcPr>
          <w:p w:rsidR="00126779" w:rsidRPr="00351DD4" w:rsidRDefault="00126779" w:rsidP="00126779">
            <w:pPr>
              <w:autoSpaceDE w:val="0"/>
              <w:autoSpaceDN w:val="0"/>
              <w:adjustRightInd w:val="0"/>
              <w:jc w:val="center"/>
              <w:rPr>
                <w:b/>
                <w:noProof/>
                <w:color w:val="3F4F21"/>
                <w:sz w:val="10"/>
                <w:szCs w:val="8"/>
                <w:lang w:eastAsia="en-GB"/>
              </w:rPr>
            </w:pPr>
          </w:p>
          <w:p w:rsidR="00126779" w:rsidRPr="00351DD4" w:rsidRDefault="00126779" w:rsidP="00126779">
            <w:pPr>
              <w:autoSpaceDE w:val="0"/>
              <w:autoSpaceDN w:val="0"/>
              <w:adjustRightInd w:val="0"/>
              <w:jc w:val="center"/>
              <w:rPr>
                <w:rFonts w:eastAsia="Calibri" w:cs="Calibri"/>
                <w:b/>
                <w:color w:val="984806" w:themeColor="accent6" w:themeShade="80"/>
                <w:szCs w:val="12"/>
              </w:rPr>
            </w:pPr>
            <w:r w:rsidRPr="00351DD4">
              <w:rPr>
                <w:b/>
                <w:noProof/>
                <w:color w:val="3F4F21"/>
                <w:sz w:val="32"/>
                <w:szCs w:val="32"/>
                <w:lang w:eastAsia="en-GB"/>
              </w:rPr>
              <w:drawing>
                <wp:inline distT="0" distB="0" distL="0" distR="0" wp14:anchorId="0F1D6002" wp14:editId="74F8F302">
                  <wp:extent cx="1388853" cy="418201"/>
                  <wp:effectExtent l="0" t="0" r="1905" b="1270"/>
                  <wp:docPr id="233" name="Picture 23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6</w:t>
            </w:r>
            <w:r w:rsidRPr="00351DD4">
              <w:rPr>
                <w:rFonts w:eastAsia="Calibri" w:cs="Calibri"/>
                <w:b/>
                <w:color w:val="984806" w:themeColor="accent6" w:themeShade="80"/>
              </w:rPr>
              <w:t>/1</w:t>
            </w:r>
            <w:r>
              <w:rPr>
                <w:rFonts w:eastAsia="Calibri" w:cs="Calibri"/>
                <w:b/>
                <w:color w:val="984806" w:themeColor="accent6" w:themeShade="80"/>
              </w:rPr>
              <w:t>7</w:t>
            </w:r>
            <w:r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0D8F7C1B" wp14:editId="5498CC55">
                  <wp:extent cx="819150" cy="256182"/>
                  <wp:effectExtent l="0" t="0" r="0" b="0"/>
                  <wp:docPr id="235" name="Picture 23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rsidTr="00126779">
        <w:tc>
          <w:tcPr>
            <w:tcW w:w="5420"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5</w:t>
            </w:r>
            <w:r w:rsidRPr="00351DD4">
              <w:rPr>
                <w:rFonts w:eastAsia="Calibri" w:cs="Calibri"/>
                <w:b/>
                <w:color w:val="984806" w:themeColor="accent6" w:themeShade="80"/>
              </w:rPr>
              <w:t>/1</w:t>
            </w:r>
            <w:r>
              <w:rPr>
                <w:rFonts w:eastAsia="Calibri" w:cs="Calibri"/>
                <w:b/>
                <w:color w:val="984806" w:themeColor="accent6" w:themeShade="80"/>
              </w:rPr>
              <w:t>6</w:t>
            </w:r>
            <w:r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04E3BF62" wp14:editId="3031D8A9">
                  <wp:extent cx="819150" cy="256182"/>
                  <wp:effectExtent l="0" t="0" r="0" b="0"/>
                  <wp:docPr id="238" name="Picture 23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351DD4" w:rsidRDefault="00126779" w:rsidP="00126779">
      <w:pPr>
        <w:autoSpaceDE w:val="0"/>
        <w:autoSpaceDN w:val="0"/>
        <w:adjustRightInd w:val="0"/>
        <w:spacing w:line="276" w:lineRule="auto"/>
        <w:ind w:right="-45"/>
        <w:jc w:val="both"/>
        <w:rPr>
          <w:rFonts w:eastAsia="Calibri" w:cs="Calibri"/>
          <w:szCs w:val="22"/>
        </w:rPr>
      </w:pP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There is limited land available for development in Oxford. It is important that we re-use previously developed (brownfield) sites to make the best use of this limited resource. </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The NPPF defines previously developed land (PDL) as “</w:t>
      </w:r>
      <w:r w:rsidRPr="00351DD4">
        <w:rPr>
          <w:rFonts w:eastAsia="Calibri" w:cs="Calibri"/>
          <w:i/>
          <w:szCs w:val="22"/>
        </w:rPr>
        <w:t>Land which is or was occupied by a permanent structure, including the curtilage of the developed land… and any associated fixed surface infrastructure”</w:t>
      </w:r>
      <w:r w:rsidRPr="00351DD4">
        <w:rPr>
          <w:rFonts w:eastAsia="Calibri" w:cs="Calibri"/>
          <w:szCs w:val="22"/>
        </w:rPr>
        <w:t xml:space="preserve">. The NPPF is clear that private residential gardens cannot be considered PDL. However, the Core Strategy target for the proportion of new homes to be delivered on PDL was set before garden land was removed from the definition. The target of 75% of new dwellings to be delivered on PDL therefore includes both PDL and garden land.   </w:t>
      </w:r>
    </w:p>
    <w:p w:rsidR="00126779"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lastRenderedPageBreak/>
        <w:t xml:space="preserve">Figure 4 shows that </w:t>
      </w:r>
      <w:r>
        <w:rPr>
          <w:rFonts w:eastAsia="Calibri" w:cs="Calibri"/>
          <w:szCs w:val="22"/>
        </w:rPr>
        <w:t>79</w:t>
      </w:r>
      <w:r w:rsidRPr="00351DD4">
        <w:rPr>
          <w:rFonts w:eastAsia="Calibri" w:cs="Calibri"/>
          <w:szCs w:val="22"/>
        </w:rPr>
        <w:t>% of housing completions in 201</w:t>
      </w:r>
      <w:r>
        <w:rPr>
          <w:rFonts w:eastAsia="Calibri" w:cs="Calibri"/>
          <w:szCs w:val="22"/>
        </w:rPr>
        <w:t>7</w:t>
      </w:r>
      <w:r w:rsidRPr="00351DD4">
        <w:rPr>
          <w:rFonts w:eastAsia="Calibri" w:cs="Calibri"/>
          <w:szCs w:val="22"/>
        </w:rPr>
        <w:t>/1</w:t>
      </w:r>
      <w:r>
        <w:rPr>
          <w:rFonts w:eastAsia="Calibri" w:cs="Calibri"/>
          <w:szCs w:val="22"/>
        </w:rPr>
        <w:t>8</w:t>
      </w:r>
      <w:r w:rsidRPr="00351DD4">
        <w:rPr>
          <w:rFonts w:eastAsia="Calibri" w:cs="Calibri"/>
          <w:szCs w:val="22"/>
        </w:rPr>
        <w:t xml:space="preserve"> were on PDL and </w:t>
      </w:r>
      <w:r>
        <w:rPr>
          <w:rFonts w:eastAsia="Calibri" w:cs="Calibri"/>
          <w:szCs w:val="22"/>
        </w:rPr>
        <w:t>18%</w:t>
      </w:r>
      <w:r w:rsidRPr="00351DD4">
        <w:rPr>
          <w:rFonts w:eastAsia="Calibri" w:cs="Calibri"/>
          <w:szCs w:val="22"/>
        </w:rPr>
        <w:t xml:space="preserve"> of housing completions were on garden land. These figures combined exceed the Core Strategy target of 75%. Only </w:t>
      </w:r>
      <w:r>
        <w:rPr>
          <w:rFonts w:eastAsia="Calibri" w:cs="Calibri"/>
          <w:szCs w:val="22"/>
        </w:rPr>
        <w:t>3</w:t>
      </w:r>
      <w:r w:rsidRPr="00351DD4">
        <w:rPr>
          <w:rFonts w:eastAsia="Calibri" w:cs="Calibri"/>
          <w:szCs w:val="22"/>
        </w:rPr>
        <w:t xml:space="preserve">% of housing completions were on </w:t>
      </w:r>
      <w:proofErr w:type="gramStart"/>
      <w:r w:rsidRPr="00351DD4">
        <w:rPr>
          <w:rFonts w:eastAsia="Calibri" w:cs="Calibri"/>
          <w:szCs w:val="22"/>
        </w:rPr>
        <w:t>greenfield</w:t>
      </w:r>
      <w:proofErr w:type="gramEnd"/>
      <w:r w:rsidRPr="00351DD4">
        <w:rPr>
          <w:rFonts w:eastAsia="Calibri" w:cs="Calibri"/>
          <w:szCs w:val="22"/>
        </w:rPr>
        <w:t xml:space="preserve"> land.</w:t>
      </w:r>
    </w:p>
    <w:p w:rsidR="00126779" w:rsidRPr="00351DD4" w:rsidRDefault="00126779" w:rsidP="00126779">
      <w:pPr>
        <w:autoSpaceDE w:val="0"/>
        <w:autoSpaceDN w:val="0"/>
        <w:adjustRightInd w:val="0"/>
        <w:spacing w:after="200" w:line="276" w:lineRule="auto"/>
        <w:ind w:left="567" w:right="-46"/>
        <w:jc w:val="both"/>
        <w:rPr>
          <w:rFonts w:eastAsia="Calibri" w:cs="Calibri"/>
          <w:szCs w:val="22"/>
        </w:rPr>
      </w:pPr>
      <w:r>
        <w:rPr>
          <w:rFonts w:eastAsia="Calibri" w:cs="Calibri"/>
          <w:noProof/>
          <w:szCs w:val="22"/>
          <w:lang w:eastAsia="en-GB"/>
        </w:rPr>
        <w:drawing>
          <wp:inline distT="0" distB="0" distL="0" distR="0" wp14:anchorId="03519EDE" wp14:editId="6D486B75">
            <wp:extent cx="5486400" cy="3200400"/>
            <wp:effectExtent l="0" t="0" r="19050" b="1905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6779" w:rsidRPr="00351DD4" w:rsidRDefault="00126779" w:rsidP="00126779">
      <w:pPr>
        <w:autoSpaceDE w:val="0"/>
        <w:autoSpaceDN w:val="0"/>
        <w:adjustRightInd w:val="0"/>
        <w:spacing w:after="200" w:line="276" w:lineRule="auto"/>
        <w:ind w:right="-46"/>
        <w:jc w:val="center"/>
        <w:rPr>
          <w:rFonts w:eastAsia="Calibri" w:cs="Calibri"/>
          <w:color w:val="000000"/>
          <w:sz w:val="20"/>
          <w:szCs w:val="22"/>
        </w:rPr>
      </w:pPr>
      <w:r w:rsidRPr="00351DD4">
        <w:rPr>
          <w:noProof/>
          <w:lang w:eastAsia="en-GB"/>
        </w:rPr>
        <w:t xml:space="preserve"> </w:t>
      </w:r>
      <w:r w:rsidRPr="00351DD4">
        <w:rPr>
          <w:rFonts w:eastAsia="Calibri" w:cs="Calibri"/>
          <w:b/>
          <w:color w:val="000000"/>
          <w:sz w:val="20"/>
          <w:szCs w:val="22"/>
        </w:rPr>
        <w:t xml:space="preserve">Figure 4: </w:t>
      </w:r>
      <w:r w:rsidRPr="00351DD4">
        <w:rPr>
          <w:rFonts w:eastAsia="Calibri" w:cs="Calibri"/>
          <w:color w:val="000000"/>
          <w:sz w:val="20"/>
          <w:szCs w:val="22"/>
        </w:rPr>
        <w:t xml:space="preserve">Dwellings completed by land type 2010/11 </w:t>
      </w:r>
      <w:r>
        <w:rPr>
          <w:rFonts w:eastAsia="Calibri" w:cs="Calibri"/>
          <w:color w:val="000000"/>
          <w:sz w:val="20"/>
          <w:szCs w:val="22"/>
        </w:rPr>
        <w:t>–</w:t>
      </w:r>
      <w:r w:rsidRPr="00351DD4">
        <w:rPr>
          <w:rFonts w:eastAsia="Calibri" w:cs="Calibri"/>
          <w:color w:val="000000"/>
          <w:sz w:val="20"/>
          <w:szCs w:val="22"/>
        </w:rPr>
        <w:t xml:space="preserve"> 2017</w:t>
      </w:r>
      <w:r>
        <w:rPr>
          <w:rFonts w:eastAsia="Calibri" w:cs="Calibri"/>
          <w:color w:val="000000"/>
          <w:sz w:val="20"/>
          <w:szCs w:val="22"/>
        </w:rPr>
        <w:t>/18</w:t>
      </w:r>
    </w:p>
    <w:bookmarkStart w:id="21" w:name="_Toc529178351"/>
    <w:p w:rsidR="00126779" w:rsidRPr="002E6DEC" w:rsidRDefault="00126779" w:rsidP="00126779">
      <w:pPr>
        <w:outlineLvl w:val="1"/>
        <w:rPr>
          <w:rFonts w:asciiTheme="minorHAnsi" w:hAnsiTheme="minorHAnsi"/>
          <w:b/>
          <w:lang w:eastAsia="en-GB"/>
        </w:rPr>
      </w:pPr>
      <w:r w:rsidRPr="002E6DE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67456" behindDoc="1" locked="0" layoutInCell="1" allowOverlap="1" wp14:anchorId="0E4F6C48" wp14:editId="17F9CB78">
                <wp:simplePos x="0" y="0"/>
                <wp:positionH relativeFrom="column">
                  <wp:posOffset>-66675</wp:posOffset>
                </wp:positionH>
                <wp:positionV relativeFrom="paragraph">
                  <wp:posOffset>10160</wp:posOffset>
                </wp:positionV>
                <wp:extent cx="5875655" cy="1457325"/>
                <wp:effectExtent l="0" t="0" r="0" b="9525"/>
                <wp:wrapNone/>
                <wp:docPr id="72" name="Rectangle 72"/>
                <wp:cNvGraphicFramePr/>
                <a:graphic xmlns:a="http://schemas.openxmlformats.org/drawingml/2006/main">
                  <a:graphicData uri="http://schemas.microsoft.com/office/word/2010/wordprocessingShape">
                    <wps:wsp>
                      <wps:cNvSpPr/>
                      <wps:spPr>
                        <a:xfrm>
                          <a:off x="0" y="0"/>
                          <a:ext cx="5875655" cy="14573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F80275" id="Rectangle 72" o:spid="_x0000_s1026" style="position:absolute;margin-left:-5.25pt;margin-top:.8pt;width:462.65pt;height:11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" fillcolor="#fcd5b5" stroked="f" strokeweight="2pt"/>
            </w:pict>
          </mc:Fallback>
        </mc:AlternateContent>
      </w:r>
      <w:r w:rsidRPr="002E6DEC">
        <w:rPr>
          <w:rFonts w:asciiTheme="minorHAnsi" w:hAnsiTheme="minorHAnsi"/>
          <w:b/>
          <w:lang w:eastAsia="en-GB"/>
        </w:rPr>
        <w:t>Indicator 15: MIX OF HOUSING (DWELLING SIZE)</w:t>
      </w:r>
      <w:bookmarkEnd w:id="21"/>
    </w:p>
    <w:p w:rsidR="00126779" w:rsidRPr="002E6DEC" w:rsidRDefault="00126779" w:rsidP="00126779">
      <w:pPr>
        <w:autoSpaceDE w:val="0"/>
        <w:autoSpaceDN w:val="0"/>
        <w:adjustRightInd w:val="0"/>
        <w:jc w:val="both"/>
        <w:rPr>
          <w:rFonts w:eastAsia="Calibri" w:cs="Calibri"/>
          <w:b/>
          <w:color w:val="984806" w:themeColor="accent6" w:themeShade="80"/>
          <w:sz w:val="10"/>
          <w:szCs w:val="10"/>
        </w:rPr>
      </w:pPr>
    </w:p>
    <w:p w:rsidR="00126779" w:rsidRPr="002E6DEC" w:rsidRDefault="00126779" w:rsidP="00126779">
      <w:pPr>
        <w:autoSpaceDE w:val="0"/>
        <w:autoSpaceDN w:val="0"/>
        <w:adjustRightInd w:val="0"/>
        <w:jc w:val="both"/>
        <w:rPr>
          <w:rFonts w:eastAsia="Calibri" w:cs="Calibri"/>
          <w:b/>
          <w:color w:val="984806" w:themeColor="accent6" w:themeShade="80"/>
          <w:szCs w:val="22"/>
        </w:rPr>
      </w:pPr>
      <w:r w:rsidRPr="002E6DEC">
        <w:rPr>
          <w:rFonts w:eastAsia="Calibri" w:cs="Calibri"/>
          <w:b/>
          <w:color w:val="984806" w:themeColor="accent6" w:themeShade="80"/>
          <w:szCs w:val="22"/>
        </w:rPr>
        <w:t>Target: 95% of schemes to comply with the Balance of Dwellings SPD</w:t>
      </w:r>
    </w:p>
    <w:p w:rsidR="00126779" w:rsidRPr="002E6DEC" w:rsidRDefault="00126779" w:rsidP="00126779">
      <w:pPr>
        <w:autoSpaceDE w:val="0"/>
        <w:autoSpaceDN w:val="0"/>
        <w:adjustRightInd w:val="0"/>
        <w:ind w:firstLine="720"/>
        <w:jc w:val="both"/>
        <w:rPr>
          <w:rFonts w:eastAsia="Calibri" w:cs="Calibri"/>
          <w:b/>
          <w:color w:val="984806" w:themeColor="accent6" w:themeShade="80"/>
          <w:szCs w:val="22"/>
        </w:rPr>
      </w:pPr>
      <w:r w:rsidRPr="002E6DEC">
        <w:rPr>
          <w:rFonts w:eastAsia="Calibri" w:cs="Calibri"/>
          <w:color w:val="984806" w:themeColor="accent6" w:themeShade="80"/>
          <w:sz w:val="20"/>
          <w:szCs w:val="22"/>
        </w:rPr>
        <w:t>(Oxford Core Strategy Policy CS23)</w:t>
      </w:r>
    </w:p>
    <w:p w:rsidR="00126779" w:rsidRPr="002E6DEC"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E6DEC" w:rsidTr="00126779">
        <w:trPr>
          <w:trHeight w:val="218"/>
        </w:trPr>
        <w:tc>
          <w:tcPr>
            <w:tcW w:w="5420" w:type="dxa"/>
          </w:tcPr>
          <w:p w:rsidR="00126779" w:rsidRPr="002E6DEC" w:rsidRDefault="00FB04B2" w:rsidP="00126779">
            <w:pPr>
              <w:autoSpaceDE w:val="0"/>
              <w:autoSpaceDN w:val="0"/>
              <w:adjustRightInd w:val="0"/>
              <w:ind w:left="-108"/>
              <w:rPr>
                <w:b/>
                <w:noProof/>
                <w:color w:val="984806" w:themeColor="accent6" w:themeShade="80"/>
                <w:szCs w:val="16"/>
                <w:lang w:eastAsia="en-GB"/>
              </w:rPr>
            </w:pPr>
            <w:r w:rsidRPr="002E6DEC">
              <w:rPr>
                <w:rFonts w:eastAsia="Calibri" w:cs="Calibri"/>
                <w:b/>
                <w:color w:val="984806" w:themeColor="accent6" w:themeShade="80"/>
              </w:rPr>
              <w:t>Performance against target 2017/18</w:t>
            </w:r>
            <w:r w:rsidR="00126779" w:rsidRPr="002E6DEC">
              <w:rPr>
                <w:rFonts w:eastAsia="Calibri" w:cs="Calibri"/>
                <w:b/>
                <w:color w:val="984806" w:themeColor="accent6" w:themeShade="80"/>
              </w:rPr>
              <w:t>:</w:t>
            </w:r>
          </w:p>
        </w:tc>
        <w:tc>
          <w:tcPr>
            <w:tcW w:w="3714" w:type="dxa"/>
            <w:gridSpan w:val="2"/>
          </w:tcPr>
          <w:p w:rsidR="00126779" w:rsidRPr="002E6DEC" w:rsidRDefault="00126779" w:rsidP="00126779">
            <w:pPr>
              <w:autoSpaceDE w:val="0"/>
              <w:autoSpaceDN w:val="0"/>
              <w:adjustRightInd w:val="0"/>
              <w:rPr>
                <w:rFonts w:eastAsia="Calibri" w:cs="Calibri"/>
                <w:b/>
                <w:color w:val="984806" w:themeColor="accent6" w:themeShade="80"/>
              </w:rPr>
            </w:pPr>
            <w:r w:rsidRPr="002E6DEC">
              <w:rPr>
                <w:rFonts w:eastAsia="Calibri" w:cs="Calibri"/>
                <w:b/>
                <w:color w:val="984806" w:themeColor="accent6" w:themeShade="80"/>
              </w:rPr>
              <w:t>Performance in previous two years:</w:t>
            </w:r>
          </w:p>
        </w:tc>
      </w:tr>
      <w:tr w:rsidR="00126779" w:rsidRPr="002E6DEC" w:rsidTr="00126779">
        <w:tc>
          <w:tcPr>
            <w:tcW w:w="5420" w:type="dxa"/>
            <w:vMerge w:val="restart"/>
          </w:tcPr>
          <w:p w:rsidR="00126779" w:rsidRPr="002E6DEC" w:rsidRDefault="00126779" w:rsidP="00126779">
            <w:pPr>
              <w:autoSpaceDE w:val="0"/>
              <w:autoSpaceDN w:val="0"/>
              <w:adjustRightInd w:val="0"/>
              <w:rPr>
                <w:rFonts w:eastAsia="Calibri" w:cs="Calibri"/>
                <w:b/>
                <w:color w:val="984806" w:themeColor="accent6" w:themeShade="80"/>
                <w:sz w:val="12"/>
                <w:szCs w:val="8"/>
              </w:rPr>
            </w:pPr>
          </w:p>
          <w:p w:rsidR="00126779" w:rsidRPr="002E6DEC" w:rsidRDefault="00FB04B2" w:rsidP="00126779">
            <w:pPr>
              <w:autoSpaceDE w:val="0"/>
              <w:autoSpaceDN w:val="0"/>
              <w:adjustRightInd w:val="0"/>
              <w:jc w:val="center"/>
              <w:rPr>
                <w:rFonts w:eastAsia="Calibri" w:cs="Calibri"/>
                <w:b/>
                <w:color w:val="984806" w:themeColor="accent6" w:themeShade="80"/>
                <w:szCs w:val="12"/>
              </w:rPr>
            </w:pPr>
            <w:r w:rsidRPr="002E6DEC">
              <w:rPr>
                <w:b/>
                <w:noProof/>
                <w:sz w:val="28"/>
                <w:szCs w:val="32"/>
                <w:lang w:eastAsia="en-GB"/>
              </w:rPr>
              <w:drawing>
                <wp:inline distT="0" distB="0" distL="0" distR="0" wp14:anchorId="64FF6EBE" wp14:editId="3648590C">
                  <wp:extent cx="1390650" cy="433702"/>
                  <wp:effectExtent l="0" t="0" r="0" b="5080"/>
                  <wp:docPr id="276" name="Picture 27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126779" w:rsidRPr="002E6DEC" w:rsidRDefault="00FB04B2" w:rsidP="00126779">
            <w:pPr>
              <w:autoSpaceDE w:val="0"/>
              <w:autoSpaceDN w:val="0"/>
              <w:adjustRightInd w:val="0"/>
              <w:rPr>
                <w:rFonts w:eastAsia="Calibri" w:cs="Calibri"/>
                <w:b/>
                <w:color w:val="984806" w:themeColor="accent6" w:themeShade="80"/>
              </w:rPr>
            </w:pPr>
            <w:r w:rsidRPr="002E6DEC">
              <w:rPr>
                <w:rFonts w:eastAsia="Calibri" w:cs="Calibri"/>
                <w:b/>
                <w:color w:val="984806" w:themeColor="accent6" w:themeShade="80"/>
              </w:rPr>
              <w:t>2016/17</w:t>
            </w:r>
            <w:r w:rsidR="00126779" w:rsidRPr="002E6DEC">
              <w:rPr>
                <w:rFonts w:eastAsia="Calibri" w:cs="Calibri"/>
                <w:b/>
                <w:color w:val="984806" w:themeColor="accent6" w:themeShade="80"/>
              </w:rPr>
              <w:t>:</w:t>
            </w:r>
          </w:p>
        </w:tc>
        <w:tc>
          <w:tcPr>
            <w:tcW w:w="2613" w:type="dxa"/>
          </w:tcPr>
          <w:p w:rsidR="00126779" w:rsidRPr="002E6DEC" w:rsidRDefault="00126779" w:rsidP="00126779">
            <w:pPr>
              <w:autoSpaceDE w:val="0"/>
              <w:autoSpaceDN w:val="0"/>
              <w:adjustRightInd w:val="0"/>
              <w:rPr>
                <w:rFonts w:eastAsia="Calibri" w:cs="Calibri"/>
                <w:b/>
                <w:color w:val="984806" w:themeColor="accent6" w:themeShade="80"/>
              </w:rPr>
            </w:pPr>
            <w:r w:rsidRPr="002E6DEC">
              <w:rPr>
                <w:b/>
                <w:noProof/>
                <w:sz w:val="32"/>
                <w:szCs w:val="32"/>
                <w:lang w:eastAsia="en-GB"/>
              </w:rPr>
              <w:drawing>
                <wp:inline distT="0" distB="0" distL="0" distR="0" wp14:anchorId="108CFC07" wp14:editId="0BAD43C8">
                  <wp:extent cx="819150" cy="256182"/>
                  <wp:effectExtent l="0" t="0" r="0" b="0"/>
                  <wp:docPr id="241" name="Picture 24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2E6DEC"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2E6DEC" w:rsidTr="00126779">
        <w:tc>
          <w:tcPr>
            <w:tcW w:w="5420" w:type="dxa"/>
            <w:vMerge/>
          </w:tcPr>
          <w:p w:rsidR="00126779" w:rsidRPr="002E6DEC" w:rsidRDefault="00126779" w:rsidP="00126779">
            <w:pPr>
              <w:autoSpaceDE w:val="0"/>
              <w:autoSpaceDN w:val="0"/>
              <w:adjustRightInd w:val="0"/>
              <w:jc w:val="center"/>
              <w:rPr>
                <w:rFonts w:eastAsia="Calibri" w:cs="Calibri"/>
                <w:b/>
                <w:color w:val="984806" w:themeColor="accent6" w:themeShade="80"/>
              </w:rPr>
            </w:pPr>
          </w:p>
        </w:tc>
        <w:tc>
          <w:tcPr>
            <w:tcW w:w="1101" w:type="dxa"/>
          </w:tcPr>
          <w:p w:rsidR="00126779" w:rsidRPr="002E6DEC" w:rsidRDefault="00126779" w:rsidP="00FB04B2">
            <w:pPr>
              <w:autoSpaceDE w:val="0"/>
              <w:autoSpaceDN w:val="0"/>
              <w:adjustRightInd w:val="0"/>
              <w:rPr>
                <w:rFonts w:eastAsia="Calibri" w:cs="Calibri"/>
                <w:b/>
                <w:color w:val="984806" w:themeColor="accent6" w:themeShade="80"/>
              </w:rPr>
            </w:pPr>
            <w:r w:rsidRPr="002E6DEC">
              <w:rPr>
                <w:rFonts w:eastAsia="Calibri" w:cs="Calibri"/>
                <w:b/>
                <w:color w:val="984806" w:themeColor="accent6" w:themeShade="80"/>
              </w:rPr>
              <w:t>201</w:t>
            </w:r>
            <w:r w:rsidR="00FB04B2" w:rsidRPr="002E6DEC">
              <w:rPr>
                <w:rFonts w:eastAsia="Calibri" w:cs="Calibri"/>
                <w:b/>
                <w:color w:val="984806" w:themeColor="accent6" w:themeShade="80"/>
              </w:rPr>
              <w:t>5/16</w:t>
            </w:r>
            <w:r w:rsidRPr="002E6DEC">
              <w:rPr>
                <w:rFonts w:eastAsia="Calibri" w:cs="Calibri"/>
                <w:b/>
                <w:color w:val="984806" w:themeColor="accent6" w:themeShade="80"/>
              </w:rPr>
              <w:t>:</w:t>
            </w:r>
          </w:p>
        </w:tc>
        <w:tc>
          <w:tcPr>
            <w:tcW w:w="2613" w:type="dxa"/>
          </w:tcPr>
          <w:p w:rsidR="00126779" w:rsidRPr="002E6DEC" w:rsidRDefault="00FB04B2" w:rsidP="00126779">
            <w:pPr>
              <w:autoSpaceDE w:val="0"/>
              <w:autoSpaceDN w:val="0"/>
              <w:adjustRightInd w:val="0"/>
              <w:rPr>
                <w:rFonts w:eastAsia="Calibri" w:cs="Calibri"/>
                <w:b/>
                <w:color w:val="984806" w:themeColor="accent6" w:themeShade="80"/>
              </w:rPr>
            </w:pPr>
            <w:r w:rsidRPr="002E6DEC">
              <w:rPr>
                <w:b/>
                <w:noProof/>
                <w:sz w:val="32"/>
                <w:szCs w:val="32"/>
                <w:lang w:eastAsia="en-GB"/>
              </w:rPr>
              <w:drawing>
                <wp:inline distT="0" distB="0" distL="0" distR="0" wp14:anchorId="110DFBB8" wp14:editId="607E6DD3">
                  <wp:extent cx="819150" cy="256182"/>
                  <wp:effectExtent l="0" t="0" r="0" b="0"/>
                  <wp:docPr id="278" name="Picture 2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2E6DEC" w:rsidRDefault="00126779" w:rsidP="00126779"/>
    <w:p w:rsidR="00126779" w:rsidRPr="002E6DEC" w:rsidRDefault="00126779" w:rsidP="00126779">
      <w:pPr>
        <w:numPr>
          <w:ilvl w:val="1"/>
          <w:numId w:val="8"/>
        </w:numPr>
        <w:tabs>
          <w:tab w:val="left" w:pos="9026"/>
        </w:tabs>
        <w:autoSpaceDE w:val="0"/>
        <w:autoSpaceDN w:val="0"/>
        <w:adjustRightInd w:val="0"/>
        <w:spacing w:after="80" w:line="276" w:lineRule="auto"/>
        <w:ind w:left="567" w:right="-45" w:hanging="567"/>
        <w:jc w:val="both"/>
        <w:rPr>
          <w:rFonts w:eastAsia="Calibri" w:cs="Calibri"/>
          <w:szCs w:val="22"/>
        </w:rPr>
      </w:pPr>
      <w:r w:rsidRPr="002E6DEC">
        <w:rPr>
          <w:rFonts w:eastAsia="Calibri" w:cs="Calibri"/>
          <w:szCs w:val="22"/>
        </w:rPr>
        <w:t xml:space="preserve">It is important to ensure that a mix of homes is delivered to meet Oxford’s needs. </w:t>
      </w:r>
    </w:p>
    <w:p w:rsidR="00126779" w:rsidRPr="002E6DEC" w:rsidRDefault="00126779" w:rsidP="00126779">
      <w:pPr>
        <w:tabs>
          <w:tab w:val="left" w:pos="9026"/>
        </w:tabs>
        <w:autoSpaceDE w:val="0"/>
        <w:autoSpaceDN w:val="0"/>
        <w:adjustRightInd w:val="0"/>
        <w:spacing w:after="80"/>
        <w:ind w:left="567" w:right="-45"/>
        <w:jc w:val="both"/>
        <w:rPr>
          <w:rFonts w:eastAsia="Calibri" w:cs="Calibri"/>
          <w:sz w:val="4"/>
          <w:szCs w:val="4"/>
        </w:rPr>
      </w:pPr>
    </w:p>
    <w:p w:rsidR="00126779" w:rsidRPr="002E6DEC" w:rsidRDefault="00126779" w:rsidP="00126779">
      <w:pPr>
        <w:spacing w:line="276" w:lineRule="auto"/>
        <w:rPr>
          <w:rFonts w:cstheme="minorHAnsi"/>
          <w:b/>
          <w:color w:val="984806" w:themeColor="accent6" w:themeShade="80"/>
          <w:szCs w:val="22"/>
        </w:rPr>
      </w:pPr>
      <w:r w:rsidRPr="002E6DEC">
        <w:rPr>
          <w:rFonts w:asciiTheme="minorHAnsi" w:hAnsiTheme="minorHAnsi" w:cstheme="minorHAnsi"/>
          <w:b/>
          <w:color w:val="984806" w:themeColor="accent6" w:themeShade="80"/>
          <w:szCs w:val="22"/>
        </w:rPr>
        <w:t>Overall Mix of Housing Delivered</w:t>
      </w:r>
    </w:p>
    <w:p w:rsidR="00126779" w:rsidRPr="002E6DEC"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2E6DEC">
        <w:rPr>
          <w:rFonts w:eastAsia="Calibri" w:cs="Calibri"/>
          <w:szCs w:val="22"/>
        </w:rPr>
        <w:t xml:space="preserve">In previous years there have been concerns that increasing proportions of smaller homes (one or two bedrooms) were being completed in Oxford and that this was limiting the supply of new family-sized homes. </w:t>
      </w:r>
      <w:r w:rsidR="00016A93">
        <w:rPr>
          <w:rFonts w:eastAsia="Calibri" w:cs="Calibri"/>
          <w:szCs w:val="22"/>
        </w:rPr>
        <w:t xml:space="preserve">The 2015/16 and 2016/17 monitoring years were more successful in meeting the Core Strategy targets with over 30% of homes being 3 or more bed dwellings. </w:t>
      </w:r>
      <w:r w:rsidR="00F42BF5" w:rsidRPr="002E6DEC">
        <w:rPr>
          <w:rFonts w:eastAsia="Calibri" w:cs="Calibri"/>
          <w:szCs w:val="22"/>
        </w:rPr>
        <w:t xml:space="preserve">Figure 5 </w:t>
      </w:r>
      <w:r w:rsidR="00016A93">
        <w:rPr>
          <w:rFonts w:eastAsia="Calibri" w:cs="Calibri"/>
          <w:szCs w:val="22"/>
        </w:rPr>
        <w:t>however shows that during</w:t>
      </w:r>
      <w:r w:rsidR="00F42BF5" w:rsidRPr="002E6DEC">
        <w:rPr>
          <w:rFonts w:eastAsia="Calibri" w:cs="Calibri"/>
          <w:szCs w:val="22"/>
        </w:rPr>
        <w:t xml:space="preserve"> the 2017/18 year the mix of dwelling sizes completed did not reach the Council’s aspirations. </w:t>
      </w:r>
    </w:p>
    <w:p w:rsidR="00126779" w:rsidRPr="00FB04B2" w:rsidRDefault="00F42BF5" w:rsidP="00126779">
      <w:pPr>
        <w:autoSpaceDE w:val="0"/>
        <w:autoSpaceDN w:val="0"/>
        <w:adjustRightInd w:val="0"/>
        <w:spacing w:after="200" w:line="276" w:lineRule="auto"/>
        <w:ind w:right="-46"/>
        <w:jc w:val="center"/>
        <w:rPr>
          <w:rFonts w:eastAsia="Calibri" w:cs="Calibri"/>
          <w:szCs w:val="22"/>
        </w:rPr>
      </w:pPr>
      <w:r w:rsidRPr="00FB04B2">
        <w:rPr>
          <w:noProof/>
          <w:lang w:eastAsia="en-GB"/>
        </w:rPr>
        <w:lastRenderedPageBreak/>
        <w:drawing>
          <wp:inline distT="0" distB="0" distL="0" distR="0" wp14:anchorId="6D482964" wp14:editId="0468D732">
            <wp:extent cx="5731510" cy="3869382"/>
            <wp:effectExtent l="0" t="0" r="21590" b="17145"/>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26779" w:rsidRPr="00FB04B2">
        <w:rPr>
          <w:rFonts w:eastAsia="Calibri" w:cs="Calibri"/>
          <w:b/>
          <w:color w:val="000000"/>
          <w:sz w:val="20"/>
          <w:szCs w:val="20"/>
        </w:rPr>
        <w:t xml:space="preserve">Figure 5: </w:t>
      </w:r>
      <w:r w:rsidR="00126779" w:rsidRPr="00FB04B2">
        <w:rPr>
          <w:sz w:val="20"/>
          <w:szCs w:val="20"/>
        </w:rPr>
        <w:t>Mix of dwe</w:t>
      </w:r>
      <w:r w:rsidRPr="00FB04B2">
        <w:rPr>
          <w:sz w:val="20"/>
          <w:szCs w:val="20"/>
        </w:rPr>
        <w:t>llings completed 2006/07-2017/18</w:t>
      </w:r>
    </w:p>
    <w:p w:rsidR="00126779" w:rsidRPr="00FB04B2" w:rsidRDefault="00126779" w:rsidP="00126779">
      <w:pPr>
        <w:rPr>
          <w:rFonts w:asciiTheme="minorHAnsi" w:hAnsiTheme="minorHAnsi" w:cstheme="minorHAnsi"/>
          <w:b/>
          <w:color w:val="984806" w:themeColor="accent6" w:themeShade="80"/>
        </w:rPr>
      </w:pPr>
      <w:r w:rsidRPr="00FB04B2">
        <w:rPr>
          <w:rFonts w:asciiTheme="minorHAnsi" w:hAnsiTheme="minorHAnsi" w:cstheme="minorHAnsi"/>
          <w:b/>
          <w:color w:val="984806" w:themeColor="accent6" w:themeShade="80"/>
        </w:rPr>
        <w:t>Compliance with the Balance of Dwellings (</w:t>
      </w:r>
      <w:proofErr w:type="spellStart"/>
      <w:r w:rsidRPr="00FB04B2">
        <w:rPr>
          <w:rFonts w:asciiTheme="minorHAnsi" w:hAnsiTheme="minorHAnsi" w:cstheme="minorHAnsi"/>
          <w:b/>
          <w:color w:val="984806" w:themeColor="accent6" w:themeShade="80"/>
        </w:rPr>
        <w:t>BoDs</w:t>
      </w:r>
      <w:proofErr w:type="spellEnd"/>
      <w:r w:rsidRPr="00FB04B2">
        <w:rPr>
          <w:rFonts w:asciiTheme="minorHAnsi" w:hAnsiTheme="minorHAnsi" w:cstheme="minorHAnsi"/>
          <w:b/>
          <w:color w:val="984806" w:themeColor="accent6" w:themeShade="80"/>
        </w:rPr>
        <w:t>) Supplementary Planning Document (SPD)</w:t>
      </w:r>
    </w:p>
    <w:p w:rsidR="00126779" w:rsidRPr="00FB04B2" w:rsidRDefault="00126779" w:rsidP="00126779">
      <w:pPr>
        <w:numPr>
          <w:ilvl w:val="1"/>
          <w:numId w:val="8"/>
        </w:numPr>
        <w:tabs>
          <w:tab w:val="left" w:pos="9026"/>
        </w:tabs>
        <w:autoSpaceDE w:val="0"/>
        <w:autoSpaceDN w:val="0"/>
        <w:adjustRightInd w:val="0"/>
        <w:spacing w:after="80" w:line="276" w:lineRule="auto"/>
        <w:ind w:left="567" w:right="-45" w:hanging="567"/>
        <w:jc w:val="both"/>
        <w:rPr>
          <w:rFonts w:eastAsia="Calibri" w:cs="Calibri"/>
          <w:sz w:val="20"/>
          <w:szCs w:val="20"/>
        </w:rPr>
      </w:pPr>
      <w:r w:rsidRPr="00FB04B2">
        <w:rPr>
          <w:rFonts w:eastAsia="Calibri" w:cs="Calibri"/>
          <w:szCs w:val="22"/>
        </w:rPr>
        <w:t>The Balance of Dwellings SPD sets out the appropriate mix of housing for strategic sites, developments of ten or more dwellings in the city centre and district centres, and developments of 4-24 new homes in other areas of the city taking into consideration local pressures on family housing. Table 16 shows qualifying completed developments’ compliance with the requirements of the</w:t>
      </w:r>
      <w:r w:rsidR="009F0722" w:rsidRPr="00FB04B2">
        <w:rPr>
          <w:rFonts w:eastAsia="Calibri" w:cs="Calibri"/>
          <w:szCs w:val="22"/>
        </w:rPr>
        <w:t xml:space="preserve"> </w:t>
      </w:r>
      <w:proofErr w:type="spellStart"/>
      <w:r w:rsidR="009F0722" w:rsidRPr="00FB04B2">
        <w:rPr>
          <w:rFonts w:eastAsia="Calibri" w:cs="Calibri"/>
          <w:szCs w:val="22"/>
        </w:rPr>
        <w:t>BoDs</w:t>
      </w:r>
      <w:proofErr w:type="spellEnd"/>
      <w:r w:rsidR="009F0722" w:rsidRPr="00FB04B2">
        <w:rPr>
          <w:rFonts w:eastAsia="Calibri" w:cs="Calibri"/>
          <w:szCs w:val="22"/>
        </w:rPr>
        <w:t xml:space="preserve"> SPD in 2017/18</w:t>
      </w:r>
      <w:r w:rsidRPr="00FB04B2">
        <w:rPr>
          <w:rFonts w:eastAsia="Calibri" w:cs="Calibri"/>
          <w:szCs w:val="22"/>
        </w:rPr>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418"/>
        <w:gridCol w:w="1809"/>
        <w:gridCol w:w="2977"/>
        <w:gridCol w:w="3038"/>
      </w:tblGrid>
      <w:tr w:rsidR="00126779" w:rsidRPr="00FB04B2" w:rsidTr="00126779">
        <w:tc>
          <w:tcPr>
            <w:tcW w:w="1418" w:type="dxa"/>
            <w:shd w:val="clear" w:color="auto" w:fill="FBD4B4" w:themeFill="accent6" w:themeFillTint="66"/>
          </w:tcPr>
          <w:p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Application</w:t>
            </w:r>
          </w:p>
        </w:tc>
        <w:tc>
          <w:tcPr>
            <w:tcW w:w="1809" w:type="dxa"/>
            <w:shd w:val="clear" w:color="auto" w:fill="FBD4B4" w:themeFill="accent6" w:themeFillTint="66"/>
          </w:tcPr>
          <w:p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Site</w:t>
            </w:r>
          </w:p>
        </w:tc>
        <w:tc>
          <w:tcPr>
            <w:tcW w:w="2977" w:type="dxa"/>
            <w:shd w:val="clear" w:color="auto" w:fill="FBD4B4" w:themeFill="accent6" w:themeFillTint="66"/>
          </w:tcPr>
          <w:p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Qualifying Development</w:t>
            </w:r>
          </w:p>
        </w:tc>
        <w:tc>
          <w:tcPr>
            <w:tcW w:w="3038" w:type="dxa"/>
            <w:shd w:val="clear" w:color="auto" w:fill="FBD4B4" w:themeFill="accent6" w:themeFillTint="66"/>
          </w:tcPr>
          <w:p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 xml:space="preserve">Compliance with </w:t>
            </w:r>
            <w:proofErr w:type="spellStart"/>
            <w:r w:rsidRPr="00FB04B2">
              <w:rPr>
                <w:rFonts w:cstheme="minorHAnsi"/>
                <w:b/>
                <w:color w:val="262626" w:themeColor="text1" w:themeTint="D9"/>
                <w:sz w:val="20"/>
                <w:szCs w:val="20"/>
              </w:rPr>
              <w:t>BoDs</w:t>
            </w:r>
            <w:proofErr w:type="spellEnd"/>
            <w:r w:rsidRPr="00FB04B2">
              <w:rPr>
                <w:rFonts w:cstheme="minorHAnsi"/>
                <w:b/>
                <w:color w:val="262626" w:themeColor="text1" w:themeTint="D9"/>
                <w:sz w:val="20"/>
                <w:szCs w:val="20"/>
              </w:rPr>
              <w:t xml:space="preserve"> SPD</w:t>
            </w:r>
          </w:p>
        </w:tc>
      </w:tr>
      <w:tr w:rsidR="009069B6" w:rsidRPr="00FB04B2" w:rsidTr="00857632">
        <w:tc>
          <w:tcPr>
            <w:tcW w:w="1418"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14/01770/FUL</w:t>
            </w:r>
          </w:p>
        </w:tc>
        <w:tc>
          <w:tcPr>
            <w:tcW w:w="1809" w:type="dxa"/>
            <w:shd w:val="clear" w:color="auto" w:fill="FFFFFF" w:themeFill="background1"/>
            <w:vAlign w:val="center"/>
          </w:tcPr>
          <w:p w:rsidR="009069B6" w:rsidRPr="00FB04B2" w:rsidRDefault="009069B6">
            <w:pPr>
              <w:rPr>
                <w:rFonts w:cs="Calibri"/>
                <w:color w:val="000000"/>
                <w:szCs w:val="22"/>
              </w:rPr>
            </w:pPr>
            <w:proofErr w:type="spellStart"/>
            <w:r w:rsidRPr="00FB04B2">
              <w:rPr>
                <w:rFonts w:cs="Calibri"/>
                <w:color w:val="000000"/>
                <w:szCs w:val="22"/>
              </w:rPr>
              <w:t>Marywood</w:t>
            </w:r>
            <w:proofErr w:type="spellEnd"/>
            <w:r w:rsidRPr="00FB04B2">
              <w:rPr>
                <w:rFonts w:cs="Calibri"/>
                <w:color w:val="000000"/>
                <w:szCs w:val="22"/>
              </w:rPr>
              <w:t xml:space="preserve"> House</w:t>
            </w:r>
            <w:r w:rsidRPr="00FB04B2">
              <w:rPr>
                <w:rFonts w:cs="Calibri"/>
                <w:color w:val="000000"/>
                <w:szCs w:val="22"/>
              </w:rPr>
              <w:br/>
              <w:t>Leiden Road</w:t>
            </w:r>
            <w:r w:rsidRPr="00FB04B2">
              <w:rPr>
                <w:rFonts w:cs="Calibri"/>
                <w:color w:val="000000"/>
                <w:szCs w:val="22"/>
              </w:rPr>
              <w:br/>
              <w:t>Oxford</w:t>
            </w:r>
            <w:r w:rsidRPr="00FB04B2">
              <w:rPr>
                <w:rFonts w:cs="Calibri"/>
                <w:color w:val="000000"/>
                <w:szCs w:val="22"/>
              </w:rPr>
              <w:br/>
              <w:t>Oxfordshire</w:t>
            </w:r>
            <w:r w:rsidRPr="00FB04B2">
              <w:rPr>
                <w:rFonts w:cs="Calibri"/>
                <w:color w:val="000000"/>
                <w:szCs w:val="22"/>
              </w:rPr>
              <w:br/>
              <w:t>OX3 8QZ</w:t>
            </w:r>
          </w:p>
        </w:tc>
        <w:tc>
          <w:tcPr>
            <w:tcW w:w="2977"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Demolition of existing buildings on site. Erection of 2 buildings on 3 levels to provide 4 x 3 bed houses and 6 x 2 bed flats, plus 10 supported housing flats, 18 car parking spaces, cycle parking, landscaping and ancillary works.(amended plans)</w:t>
            </w:r>
          </w:p>
        </w:tc>
        <w:tc>
          <w:tcPr>
            <w:tcW w:w="3038" w:type="dxa"/>
            <w:shd w:val="clear" w:color="auto" w:fill="auto"/>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 xml:space="preserve">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w:t>
            </w:r>
          </w:p>
        </w:tc>
      </w:tr>
      <w:tr w:rsidR="009069B6" w:rsidRPr="00FB04B2" w:rsidTr="00857632">
        <w:tc>
          <w:tcPr>
            <w:tcW w:w="1418"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16/02886/CEU</w:t>
            </w:r>
          </w:p>
        </w:tc>
        <w:tc>
          <w:tcPr>
            <w:tcW w:w="1809"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 xml:space="preserve">311 </w:t>
            </w:r>
            <w:proofErr w:type="spellStart"/>
            <w:r w:rsidRPr="00FB04B2">
              <w:rPr>
                <w:rFonts w:cs="Calibri"/>
                <w:color w:val="000000"/>
                <w:szCs w:val="22"/>
              </w:rPr>
              <w:t>Cowley</w:t>
            </w:r>
            <w:proofErr w:type="spellEnd"/>
            <w:r w:rsidRPr="00FB04B2">
              <w:rPr>
                <w:rFonts w:cs="Calibri"/>
                <w:color w:val="000000"/>
                <w:szCs w:val="22"/>
              </w:rPr>
              <w:t xml:space="preserve"> Road</w:t>
            </w:r>
            <w:r w:rsidRPr="00FB04B2">
              <w:rPr>
                <w:rFonts w:cs="Calibri"/>
                <w:color w:val="000000"/>
                <w:szCs w:val="22"/>
              </w:rPr>
              <w:br/>
              <w:t>Oxford</w:t>
            </w:r>
            <w:r w:rsidRPr="00FB04B2">
              <w:rPr>
                <w:rFonts w:cs="Calibri"/>
                <w:color w:val="000000"/>
                <w:szCs w:val="22"/>
              </w:rPr>
              <w:br/>
              <w:t>OX4 2AQ</w:t>
            </w:r>
          </w:p>
        </w:tc>
        <w:tc>
          <w:tcPr>
            <w:tcW w:w="2977"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Application to certify that the existing use of the property as 3 x 1-bed flats and 2 x studio flats (Use Class C3) is lawful development.</w:t>
            </w:r>
          </w:p>
        </w:tc>
        <w:tc>
          <w:tcPr>
            <w:tcW w:w="3038" w:type="dxa"/>
            <w:shd w:val="clear" w:color="auto" w:fill="auto"/>
          </w:tcPr>
          <w:p w:rsidR="009069B6" w:rsidRPr="00FB04B2" w:rsidRDefault="009F0722"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Non-c</w:t>
            </w:r>
            <w:r w:rsidR="009069B6" w:rsidRPr="00FB04B2">
              <w:rPr>
                <w:rFonts w:asciiTheme="minorHAnsi" w:hAnsiTheme="minorHAnsi" w:cstheme="minorHAnsi"/>
                <w:b/>
                <w:color w:val="262626" w:themeColor="text1" w:themeTint="D9"/>
                <w:sz w:val="20"/>
                <w:szCs w:val="20"/>
              </w:rPr>
              <w:t xml:space="preserve">ompliant with </w:t>
            </w:r>
            <w:proofErr w:type="spellStart"/>
            <w:r w:rsidR="009069B6" w:rsidRPr="00FB04B2">
              <w:rPr>
                <w:rFonts w:asciiTheme="minorHAnsi" w:hAnsiTheme="minorHAnsi" w:cstheme="minorHAnsi"/>
                <w:b/>
                <w:color w:val="262626" w:themeColor="text1" w:themeTint="D9"/>
                <w:sz w:val="20"/>
                <w:szCs w:val="20"/>
              </w:rPr>
              <w:t>BoDs</w:t>
            </w:r>
            <w:proofErr w:type="spellEnd"/>
            <w:r w:rsidR="009069B6" w:rsidRPr="00FB04B2">
              <w:rPr>
                <w:rFonts w:asciiTheme="minorHAnsi" w:hAnsiTheme="minorHAnsi" w:cstheme="minorHAnsi"/>
                <w:b/>
                <w:color w:val="262626" w:themeColor="text1" w:themeTint="D9"/>
                <w:sz w:val="20"/>
                <w:szCs w:val="20"/>
              </w:rPr>
              <w:t xml:space="preserve"> SPD</w:t>
            </w:r>
          </w:p>
          <w:p w:rsidR="009F0722" w:rsidRPr="00FB04B2" w:rsidRDefault="00FB04B2" w:rsidP="00126779">
            <w:pPr>
              <w:rPr>
                <w:rFonts w:asciiTheme="minorHAnsi" w:hAnsiTheme="minorHAnsi" w:cstheme="minorHAnsi"/>
                <w:color w:val="262626" w:themeColor="text1" w:themeTint="D9"/>
                <w:sz w:val="20"/>
                <w:szCs w:val="20"/>
              </w:rPr>
            </w:pPr>
            <w:r w:rsidRPr="00FB04B2">
              <w:rPr>
                <w:rFonts w:asciiTheme="minorHAnsi" w:hAnsiTheme="minorHAnsi" w:cstheme="minorHAnsi"/>
                <w:color w:val="262626" w:themeColor="text1" w:themeTint="D9"/>
                <w:sz w:val="20"/>
                <w:szCs w:val="20"/>
              </w:rPr>
              <w:t>Certificate of lawfulness. The City Council was therefore unable to apply Policy CS23.</w:t>
            </w:r>
          </w:p>
        </w:tc>
      </w:tr>
      <w:tr w:rsidR="009069B6" w:rsidRPr="00FB04B2" w:rsidTr="00857632">
        <w:tc>
          <w:tcPr>
            <w:tcW w:w="1418"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16/02887/CEU</w:t>
            </w:r>
          </w:p>
        </w:tc>
        <w:tc>
          <w:tcPr>
            <w:tcW w:w="1809"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 xml:space="preserve">355 </w:t>
            </w:r>
            <w:proofErr w:type="spellStart"/>
            <w:r w:rsidRPr="00FB04B2">
              <w:rPr>
                <w:rFonts w:cs="Calibri"/>
                <w:color w:val="000000"/>
                <w:szCs w:val="22"/>
              </w:rPr>
              <w:t>Cowley</w:t>
            </w:r>
            <w:proofErr w:type="spellEnd"/>
            <w:r w:rsidRPr="00FB04B2">
              <w:rPr>
                <w:rFonts w:cs="Calibri"/>
                <w:color w:val="000000"/>
                <w:szCs w:val="22"/>
              </w:rPr>
              <w:t xml:space="preserve"> Road</w:t>
            </w:r>
            <w:r w:rsidRPr="00FB04B2">
              <w:rPr>
                <w:rFonts w:cs="Calibri"/>
                <w:color w:val="000000"/>
                <w:szCs w:val="22"/>
              </w:rPr>
              <w:br/>
              <w:t>Oxford</w:t>
            </w:r>
            <w:r w:rsidRPr="00FB04B2">
              <w:rPr>
                <w:rFonts w:cs="Calibri"/>
                <w:color w:val="000000"/>
                <w:szCs w:val="22"/>
              </w:rPr>
              <w:br/>
              <w:t>OX4 2BP</w:t>
            </w:r>
          </w:p>
        </w:tc>
        <w:tc>
          <w:tcPr>
            <w:tcW w:w="2977" w:type="dxa"/>
            <w:shd w:val="clear" w:color="auto" w:fill="FFFFFF" w:themeFill="background1"/>
            <w:vAlign w:val="center"/>
          </w:tcPr>
          <w:p w:rsidR="009069B6" w:rsidRPr="00FB04B2" w:rsidRDefault="009069B6">
            <w:pPr>
              <w:rPr>
                <w:rFonts w:cs="Calibri"/>
                <w:color w:val="000000"/>
                <w:szCs w:val="22"/>
              </w:rPr>
            </w:pPr>
            <w:r w:rsidRPr="00FB04B2">
              <w:rPr>
                <w:rFonts w:cs="Calibri"/>
                <w:color w:val="000000"/>
                <w:szCs w:val="22"/>
              </w:rPr>
              <w:t xml:space="preserve">Application to certify the existing use of the property as 5 x self-contained flats (Use Class C3) is lawful </w:t>
            </w:r>
            <w:r w:rsidRPr="00FB04B2">
              <w:rPr>
                <w:rFonts w:cs="Calibri"/>
                <w:color w:val="000000"/>
                <w:szCs w:val="22"/>
              </w:rPr>
              <w:lastRenderedPageBreak/>
              <w:t>development.</w:t>
            </w:r>
          </w:p>
        </w:tc>
        <w:tc>
          <w:tcPr>
            <w:tcW w:w="3038" w:type="dxa"/>
            <w:shd w:val="clear" w:color="auto" w:fill="auto"/>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lastRenderedPageBreak/>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FB04B2" w:rsidP="00126779">
            <w:pPr>
              <w:rPr>
                <w:rFonts w:asciiTheme="minorHAnsi" w:hAnsiTheme="minorHAnsi" w:cstheme="minorHAnsi"/>
                <w:color w:val="262626" w:themeColor="text1" w:themeTint="D9"/>
                <w:sz w:val="20"/>
                <w:szCs w:val="20"/>
              </w:rPr>
            </w:pPr>
            <w:r w:rsidRPr="00FB04B2">
              <w:rPr>
                <w:rFonts w:asciiTheme="minorHAnsi" w:hAnsiTheme="minorHAnsi" w:cstheme="minorHAnsi"/>
                <w:color w:val="262626" w:themeColor="text1" w:themeTint="D9"/>
                <w:sz w:val="20"/>
                <w:szCs w:val="20"/>
              </w:rPr>
              <w:t>Certificate of lawfulness. The City Council was therefore unable to apply Policy CS23.</w:t>
            </w:r>
          </w:p>
        </w:tc>
      </w:tr>
      <w:tr w:rsidR="009069B6" w:rsidRPr="00FB04B2" w:rsidTr="00857632">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lastRenderedPageBreak/>
              <w:t>07/00964/FUL</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 xml:space="preserve">259 </w:t>
            </w:r>
            <w:proofErr w:type="spellStart"/>
            <w:r w:rsidRPr="00FB04B2">
              <w:rPr>
                <w:rFonts w:cs="Calibri"/>
                <w:color w:val="000000"/>
                <w:szCs w:val="22"/>
              </w:rPr>
              <w:t>Iffley</w:t>
            </w:r>
            <w:proofErr w:type="spellEnd"/>
            <w:r w:rsidRPr="00FB04B2">
              <w:rPr>
                <w:rFonts w:cs="Calibri"/>
                <w:color w:val="000000"/>
                <w:szCs w:val="22"/>
              </w:rPr>
              <w:t xml:space="preserve"> Road</w:t>
            </w:r>
            <w:r w:rsidRPr="00FB04B2">
              <w:rPr>
                <w:rFonts w:cs="Calibri"/>
                <w:color w:val="000000"/>
                <w:szCs w:val="22"/>
              </w:rPr>
              <w:br/>
              <w:t>Oxford</w:t>
            </w:r>
            <w:r w:rsidRPr="00FB04B2">
              <w:rPr>
                <w:rFonts w:cs="Calibri"/>
                <w:color w:val="000000"/>
                <w:szCs w:val="22"/>
              </w:rPr>
              <w:br/>
              <w:t>Oxfordshire</w:t>
            </w:r>
            <w:r w:rsidRPr="00FB04B2">
              <w:rPr>
                <w:rFonts w:cs="Calibri"/>
                <w:color w:val="000000"/>
                <w:szCs w:val="22"/>
              </w:rPr>
              <w:br/>
              <w:t>OX4 1SJ</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 xml:space="preserve">Change of use from house in multiple </w:t>
            </w:r>
            <w:proofErr w:type="gramStart"/>
            <w:r w:rsidRPr="00FB04B2">
              <w:rPr>
                <w:rFonts w:cs="Calibri"/>
                <w:color w:val="000000"/>
                <w:szCs w:val="22"/>
              </w:rPr>
              <w:t>occupation</w:t>
            </w:r>
            <w:proofErr w:type="gramEnd"/>
            <w:r w:rsidRPr="00FB04B2">
              <w:rPr>
                <w:rFonts w:cs="Calibri"/>
                <w:color w:val="000000"/>
                <w:szCs w:val="22"/>
              </w:rPr>
              <w:t xml:space="preserve"> to six (1 bed) flats. Alterations including side extension, alterations to fenestration, provision of rear balcony. Bin and cycle store. (Amendment to planning permission 06/02483/FUL).</w:t>
            </w:r>
          </w:p>
        </w:tc>
        <w:tc>
          <w:tcPr>
            <w:tcW w:w="3038" w:type="dxa"/>
            <w:shd w:val="clear" w:color="auto" w:fill="D9D9D9" w:themeFill="background1" w:themeFillShade="D9"/>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color w:val="262626" w:themeColor="text1" w:themeTint="D9"/>
                <w:sz w:val="20"/>
                <w:szCs w:val="20"/>
              </w:rPr>
            </w:pPr>
          </w:p>
        </w:tc>
      </w:tr>
      <w:tr w:rsidR="009069B6" w:rsidRPr="00FB04B2" w:rsidTr="00857632">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10/01783/FUL</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46 Hythe Bridge Street</w:t>
            </w:r>
            <w:r w:rsidRPr="00FB04B2">
              <w:rPr>
                <w:rFonts w:cs="Calibri"/>
                <w:color w:val="000000"/>
                <w:szCs w:val="22"/>
              </w:rPr>
              <w:br/>
              <w:t>Oxford</w:t>
            </w:r>
            <w:r w:rsidRPr="00FB04B2">
              <w:rPr>
                <w:rFonts w:cs="Calibri"/>
                <w:color w:val="000000"/>
                <w:szCs w:val="22"/>
              </w:rPr>
              <w:br/>
              <w:t>Oxfordshire</w:t>
            </w:r>
            <w:r w:rsidRPr="00FB04B2">
              <w:rPr>
                <w:rFonts w:cs="Calibri"/>
                <w:color w:val="000000"/>
                <w:szCs w:val="22"/>
              </w:rPr>
              <w:br/>
              <w:t>OX1 2EP</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Conversion and extension of existing building (involving demolition of extension and outbuilding) to provide 7 x 1-bedroom flats, cycle parking, bin store and amenity space to serve 2-bedroom flat (amended plan).</w:t>
            </w:r>
          </w:p>
        </w:tc>
        <w:tc>
          <w:tcPr>
            <w:tcW w:w="3038" w:type="dxa"/>
            <w:shd w:val="clear" w:color="auto" w:fill="D9D9D9" w:themeFill="background1" w:themeFillShade="D9"/>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color w:val="262626" w:themeColor="text1" w:themeTint="D9"/>
                <w:sz w:val="20"/>
                <w:szCs w:val="20"/>
              </w:rPr>
            </w:pPr>
          </w:p>
        </w:tc>
      </w:tr>
      <w:tr w:rsidR="009069B6" w:rsidRPr="00FB04B2" w:rsidTr="00857632">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14/01646/B56</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242 - 254 Banbury Road</w:t>
            </w:r>
            <w:r w:rsidRPr="00FB04B2">
              <w:rPr>
                <w:rFonts w:cs="Calibri"/>
                <w:color w:val="000000"/>
                <w:szCs w:val="22"/>
              </w:rPr>
              <w:br/>
              <w:t>Oxford</w:t>
            </w:r>
            <w:r w:rsidRPr="00FB04B2">
              <w:rPr>
                <w:rFonts w:cs="Calibri"/>
                <w:color w:val="000000"/>
                <w:szCs w:val="22"/>
              </w:rPr>
              <w:br/>
              <w:t>Oxfordshire</w:t>
            </w:r>
            <w:r w:rsidRPr="00FB04B2">
              <w:rPr>
                <w:rFonts w:cs="Calibri"/>
                <w:color w:val="000000"/>
                <w:szCs w:val="22"/>
              </w:rPr>
              <w:br/>
              <w:t>OX2 7BY</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 xml:space="preserve">Change of use from office (Use Class </w:t>
            </w:r>
            <w:proofErr w:type="gramStart"/>
            <w:r w:rsidRPr="00FB04B2">
              <w:rPr>
                <w:rFonts w:cs="Calibri"/>
                <w:color w:val="000000"/>
                <w:szCs w:val="22"/>
              </w:rPr>
              <w:t>B1(</w:t>
            </w:r>
            <w:proofErr w:type="gramEnd"/>
            <w:r w:rsidRPr="00FB04B2">
              <w:rPr>
                <w:rFonts w:cs="Calibri"/>
                <w:color w:val="000000"/>
                <w:szCs w:val="22"/>
              </w:rPr>
              <w:t>a)) to residential (Use Class C3) to provide 16 residential units. This application is for determination as to whether prior approval of the Council is required and, if required, whether it should be granted.  This</w:t>
            </w:r>
          </w:p>
        </w:tc>
        <w:tc>
          <w:tcPr>
            <w:tcW w:w="3038" w:type="dxa"/>
            <w:shd w:val="clear" w:color="auto" w:fill="D9D9D9" w:themeFill="background1" w:themeFillShade="D9"/>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color w:val="262626" w:themeColor="text1" w:themeTint="D9"/>
                <w:sz w:val="20"/>
                <w:szCs w:val="20"/>
              </w:rPr>
              <w:t>Certificate of lawfulness. The City Council was therefore unable to apply Policy CS23.</w:t>
            </w:r>
          </w:p>
        </w:tc>
      </w:tr>
      <w:tr w:rsidR="009069B6" w:rsidRPr="00FB04B2" w:rsidTr="00857632">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14/02402/RES</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 xml:space="preserve">Westgate Centre And Adjacent Land Encompassing The Existing Westgate Centre And Land Bounded By Thames St, Castle Mill Stream, Abbey Place, Norfolk St, Castle St, Bonn Square, St Ebbes St, Turn Again Lane And Old </w:t>
            </w:r>
            <w:proofErr w:type="spellStart"/>
            <w:r w:rsidRPr="00FB04B2">
              <w:rPr>
                <w:rFonts w:cs="Calibri"/>
                <w:color w:val="000000"/>
                <w:szCs w:val="22"/>
              </w:rPr>
              <w:t>Greyfriars</w:t>
            </w:r>
            <w:proofErr w:type="spellEnd"/>
            <w:r w:rsidRPr="00FB04B2">
              <w:rPr>
                <w:rFonts w:cs="Calibri"/>
                <w:color w:val="000000"/>
                <w:szCs w:val="22"/>
              </w:rPr>
              <w:t xml:space="preserve"> St.</w:t>
            </w:r>
            <w:r w:rsidRPr="00FB04B2">
              <w:rPr>
                <w:rFonts w:cs="Calibri"/>
                <w:color w:val="000000"/>
                <w:szCs w:val="22"/>
              </w:rPr>
              <w:br/>
              <w:t>OX1 1NX</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Demolition of southern part of Westgate Centre, 1-14 Abbey Place and multi-storey car park, retention of library, refurbishment of remainder of the existing Westgate Centre and construction of a retail-led mixed use development together providing A1 (</w:t>
            </w:r>
            <w:proofErr w:type="spellStart"/>
            <w:r w:rsidRPr="00FB04B2">
              <w:rPr>
                <w:rFonts w:cs="Calibri"/>
                <w:color w:val="000000"/>
                <w:szCs w:val="22"/>
              </w:rPr>
              <w:t>reta</w:t>
            </w:r>
            <w:proofErr w:type="spellEnd"/>
          </w:p>
        </w:tc>
        <w:tc>
          <w:tcPr>
            <w:tcW w:w="3038" w:type="dxa"/>
            <w:shd w:val="clear" w:color="auto" w:fill="D9D9D9" w:themeFill="background1" w:themeFillShade="D9"/>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b/>
                <w:color w:val="262626" w:themeColor="text1" w:themeTint="D9"/>
                <w:sz w:val="20"/>
                <w:szCs w:val="20"/>
              </w:rPr>
            </w:pPr>
          </w:p>
        </w:tc>
      </w:tr>
      <w:tr w:rsidR="009069B6" w:rsidRPr="00FB04B2" w:rsidTr="00857632">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15/02512/FUL</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 Abbey Road</w:t>
            </w:r>
            <w:r w:rsidRPr="00FB04B2">
              <w:rPr>
                <w:rFonts w:cs="Calibri"/>
                <w:color w:val="000000"/>
                <w:szCs w:val="22"/>
              </w:rPr>
              <w:br/>
              <w:t>Oxford</w:t>
            </w:r>
            <w:r w:rsidRPr="00FB04B2">
              <w:rPr>
                <w:rFonts w:cs="Calibri"/>
                <w:color w:val="000000"/>
                <w:szCs w:val="22"/>
              </w:rPr>
              <w:br/>
              <w:t>Oxfordshire</w:t>
            </w:r>
            <w:r w:rsidRPr="00FB04B2">
              <w:rPr>
                <w:rFonts w:cs="Calibri"/>
                <w:color w:val="000000"/>
                <w:szCs w:val="22"/>
              </w:rPr>
              <w:br/>
              <w:t>OX2 0AD</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Demolition of existing buildings. Erection of 6 houses (2 x 3bed, 4 x 4bed) and 6 flats (1 x 1bed, 3 x 2bed and 2 x 3bed) on three levels.</w:t>
            </w:r>
          </w:p>
        </w:tc>
        <w:tc>
          <w:tcPr>
            <w:tcW w:w="3038" w:type="dxa"/>
            <w:shd w:val="clear" w:color="auto" w:fill="D9D9D9" w:themeFill="background1" w:themeFillShade="D9"/>
          </w:tcPr>
          <w:p w:rsidR="009069B6" w:rsidRPr="00FB04B2" w:rsidRDefault="009F0722"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Compliant</w:t>
            </w:r>
            <w:r w:rsidR="009069B6" w:rsidRPr="00FB04B2">
              <w:rPr>
                <w:rFonts w:asciiTheme="minorHAnsi" w:hAnsiTheme="minorHAnsi" w:cstheme="minorHAnsi"/>
                <w:b/>
                <w:color w:val="262626" w:themeColor="text1" w:themeTint="D9"/>
                <w:sz w:val="20"/>
                <w:szCs w:val="20"/>
              </w:rPr>
              <w:t xml:space="preserve"> with </w:t>
            </w:r>
            <w:proofErr w:type="spellStart"/>
            <w:r w:rsidR="009069B6" w:rsidRPr="00FB04B2">
              <w:rPr>
                <w:rFonts w:asciiTheme="minorHAnsi" w:hAnsiTheme="minorHAnsi" w:cstheme="minorHAnsi"/>
                <w:b/>
                <w:color w:val="262626" w:themeColor="text1" w:themeTint="D9"/>
                <w:sz w:val="20"/>
                <w:szCs w:val="20"/>
              </w:rPr>
              <w:t>BoDs</w:t>
            </w:r>
            <w:proofErr w:type="spellEnd"/>
            <w:r w:rsidR="009069B6"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b/>
                <w:color w:val="262626" w:themeColor="text1" w:themeTint="D9"/>
                <w:sz w:val="20"/>
                <w:szCs w:val="20"/>
              </w:rPr>
            </w:pPr>
          </w:p>
        </w:tc>
      </w:tr>
      <w:tr w:rsidR="009069B6" w:rsidRPr="00FB04B2" w:rsidTr="00857632">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12/03280/FU</w:t>
            </w:r>
            <w:r w:rsidRPr="00FB04B2">
              <w:rPr>
                <w:rFonts w:cs="Calibri"/>
                <w:color w:val="000000"/>
                <w:szCs w:val="22"/>
              </w:rPr>
              <w:lastRenderedPageBreak/>
              <w:t>L</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lastRenderedPageBreak/>
              <w:t xml:space="preserve">Northway </w:t>
            </w:r>
            <w:r w:rsidRPr="00FB04B2">
              <w:rPr>
                <w:rFonts w:cs="Calibri"/>
                <w:color w:val="000000"/>
                <w:szCs w:val="22"/>
              </w:rPr>
              <w:lastRenderedPageBreak/>
              <w:t xml:space="preserve">Centre, </w:t>
            </w:r>
            <w:proofErr w:type="spellStart"/>
            <w:r w:rsidRPr="00FB04B2">
              <w:rPr>
                <w:rFonts w:cs="Calibri"/>
                <w:color w:val="000000"/>
                <w:szCs w:val="22"/>
              </w:rPr>
              <w:t>Maltfield</w:t>
            </w:r>
            <w:proofErr w:type="spellEnd"/>
            <w:r w:rsidRPr="00FB04B2">
              <w:rPr>
                <w:rFonts w:cs="Calibri"/>
                <w:color w:val="000000"/>
                <w:szCs w:val="22"/>
              </w:rPr>
              <w:t xml:space="preserve"> Road, Oxford</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lastRenderedPageBreak/>
              <w:t xml:space="preserve">Demolition of existing </w:t>
            </w:r>
            <w:r w:rsidRPr="00FB04B2">
              <w:rPr>
                <w:rFonts w:cs="Calibri"/>
                <w:color w:val="000000"/>
                <w:szCs w:val="22"/>
              </w:rPr>
              <w:lastRenderedPageBreak/>
              <w:t xml:space="preserve">buildings.  Erection of 47 residential units (14 x 1-bed, 14 x 2-bed, 15 x 3-bed, </w:t>
            </w:r>
            <w:proofErr w:type="gramStart"/>
            <w:r w:rsidRPr="00FB04B2">
              <w:rPr>
                <w:rFonts w:cs="Calibri"/>
                <w:color w:val="000000"/>
                <w:szCs w:val="22"/>
              </w:rPr>
              <w:t>4</w:t>
            </w:r>
            <w:proofErr w:type="gramEnd"/>
            <w:r w:rsidRPr="00FB04B2">
              <w:rPr>
                <w:rFonts w:cs="Calibri"/>
                <w:color w:val="000000"/>
                <w:szCs w:val="22"/>
              </w:rPr>
              <w:t xml:space="preserve"> x 4-bed) plus community centre in 5 blocks on 2, 3 and 4 levels.  Provision of 79 car parking spaces, 102 cycle parking spaces and landscaping.  Relocation of hard play court, provision of newt pond, wetland habitat, Aunt Sally court, outdoor seating for the social club and playing field terrace.  Amended ridge heights of terraced </w:t>
            </w:r>
            <w:proofErr w:type="gramStart"/>
            <w:r w:rsidRPr="00FB04B2">
              <w:rPr>
                <w:rFonts w:cs="Calibri"/>
                <w:color w:val="000000"/>
                <w:szCs w:val="22"/>
              </w:rPr>
              <w:t>houses  and</w:t>
            </w:r>
            <w:proofErr w:type="gramEnd"/>
            <w:r w:rsidRPr="00FB04B2">
              <w:rPr>
                <w:rFonts w:cs="Calibri"/>
                <w:color w:val="000000"/>
                <w:szCs w:val="22"/>
              </w:rPr>
              <w:t xml:space="preserve"> provision of foul water drainage system comprising on site-storage and flow-control device.</w:t>
            </w:r>
          </w:p>
        </w:tc>
        <w:tc>
          <w:tcPr>
            <w:tcW w:w="3038" w:type="dxa"/>
            <w:shd w:val="clear" w:color="auto" w:fill="D9D9D9" w:themeFill="background1" w:themeFillShade="D9"/>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lastRenderedPageBreak/>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color w:val="262626" w:themeColor="text1" w:themeTint="D9"/>
                <w:sz w:val="20"/>
                <w:szCs w:val="20"/>
              </w:rPr>
            </w:pPr>
          </w:p>
        </w:tc>
      </w:tr>
      <w:tr w:rsidR="009069B6" w:rsidRPr="00FB04B2" w:rsidTr="00857632">
        <w:trPr>
          <w:trHeight w:val="1092"/>
        </w:trPr>
        <w:tc>
          <w:tcPr>
            <w:tcW w:w="1418"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lastRenderedPageBreak/>
              <w:t>15/03642/RES</w:t>
            </w:r>
          </w:p>
        </w:tc>
        <w:tc>
          <w:tcPr>
            <w:tcW w:w="1809"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Land At Barton, Northern By-pass Road, Oxford, OX3 9SD</w:t>
            </w:r>
          </w:p>
        </w:tc>
        <w:tc>
          <w:tcPr>
            <w:tcW w:w="2977" w:type="dxa"/>
            <w:shd w:val="clear" w:color="auto" w:fill="D9D9D9" w:themeFill="background1" w:themeFillShade="D9"/>
            <w:vAlign w:val="center"/>
          </w:tcPr>
          <w:p w:rsidR="009069B6" w:rsidRPr="00FB04B2" w:rsidRDefault="009069B6">
            <w:pPr>
              <w:rPr>
                <w:rFonts w:cs="Calibri"/>
                <w:color w:val="000000"/>
                <w:szCs w:val="22"/>
              </w:rPr>
            </w:pPr>
            <w:r w:rsidRPr="00FB04B2">
              <w:rPr>
                <w:rFonts w:cs="Calibri"/>
                <w:color w:val="000000"/>
                <w:szCs w:val="22"/>
              </w:rPr>
              <w:t>15/03642/RES Details of reserved matters (layout, scale, appearance and landscaping) for the first phase of the Barton Park development, pursuant to Condition 3 of outline planning permission 13/01383/OUT. The works comprise the construction of 237 residential units (Class C3) with associated means of access and highways works; car and cycle parking; hard and soft landscaping; public realm works and ancillary structures. (Amended plan)</w:t>
            </w:r>
          </w:p>
        </w:tc>
        <w:tc>
          <w:tcPr>
            <w:tcW w:w="3038" w:type="dxa"/>
            <w:shd w:val="clear" w:color="auto" w:fill="D9D9D9" w:themeFill="background1" w:themeFillShade="D9"/>
          </w:tcPr>
          <w:p w:rsidR="009069B6" w:rsidRPr="00FB04B2" w:rsidRDefault="009069B6" w:rsidP="00126779">
            <w:pPr>
              <w:rPr>
                <w:rFonts w:asciiTheme="minorHAnsi" w:hAnsiTheme="minorHAnsi" w:cstheme="minorHAnsi"/>
                <w:b/>
                <w:color w:val="262626" w:themeColor="text1" w:themeTint="D9"/>
                <w:sz w:val="20"/>
                <w:szCs w:val="20"/>
              </w:rPr>
            </w:pPr>
            <w:r w:rsidRPr="00FB04B2">
              <w:rPr>
                <w:rFonts w:asciiTheme="minorHAnsi" w:hAnsiTheme="minorHAnsi" w:cstheme="minorHAnsi"/>
                <w:b/>
                <w:color w:val="262626" w:themeColor="text1" w:themeTint="D9"/>
                <w:sz w:val="20"/>
                <w:szCs w:val="20"/>
              </w:rPr>
              <w:t xml:space="preserve">Non-compliant with </w:t>
            </w:r>
            <w:proofErr w:type="spellStart"/>
            <w:r w:rsidRPr="00FB04B2">
              <w:rPr>
                <w:rFonts w:asciiTheme="minorHAnsi" w:hAnsiTheme="minorHAnsi" w:cstheme="minorHAnsi"/>
                <w:b/>
                <w:color w:val="262626" w:themeColor="text1" w:themeTint="D9"/>
                <w:sz w:val="20"/>
                <w:szCs w:val="20"/>
              </w:rPr>
              <w:t>BoDs</w:t>
            </w:r>
            <w:proofErr w:type="spellEnd"/>
            <w:r w:rsidRPr="00FB04B2">
              <w:rPr>
                <w:rFonts w:asciiTheme="minorHAnsi" w:hAnsiTheme="minorHAnsi" w:cstheme="minorHAnsi"/>
                <w:b/>
                <w:color w:val="262626" w:themeColor="text1" w:themeTint="D9"/>
                <w:sz w:val="20"/>
                <w:szCs w:val="20"/>
              </w:rPr>
              <w:t xml:space="preserve"> SPD </w:t>
            </w:r>
          </w:p>
          <w:p w:rsidR="009069B6" w:rsidRPr="00FB04B2" w:rsidRDefault="009069B6" w:rsidP="00126779">
            <w:pPr>
              <w:rPr>
                <w:rFonts w:asciiTheme="minorHAnsi" w:hAnsiTheme="minorHAnsi" w:cstheme="minorHAnsi"/>
                <w:color w:val="262626" w:themeColor="text1" w:themeTint="D9"/>
                <w:sz w:val="20"/>
                <w:szCs w:val="20"/>
              </w:rPr>
            </w:pPr>
          </w:p>
        </w:tc>
      </w:tr>
    </w:tbl>
    <w:p w:rsidR="00126779" w:rsidRPr="00FB04B2" w:rsidRDefault="00126779" w:rsidP="00126779">
      <w:pPr>
        <w:autoSpaceDE w:val="0"/>
        <w:autoSpaceDN w:val="0"/>
        <w:adjustRightInd w:val="0"/>
        <w:spacing w:after="200" w:line="276" w:lineRule="auto"/>
        <w:ind w:left="567" w:right="-45"/>
        <w:jc w:val="center"/>
        <w:rPr>
          <w:rFonts w:eastAsia="Calibri" w:cs="Calibri"/>
          <w:color w:val="000000"/>
          <w:sz w:val="20"/>
          <w:szCs w:val="20"/>
        </w:rPr>
      </w:pPr>
      <w:r w:rsidRPr="00FB04B2">
        <w:rPr>
          <w:rFonts w:eastAsia="Calibri" w:cs="Calibri"/>
          <w:b/>
          <w:color w:val="000000"/>
          <w:sz w:val="20"/>
          <w:szCs w:val="20"/>
        </w:rPr>
        <w:t xml:space="preserve">Table 16: </w:t>
      </w:r>
      <w:r w:rsidRPr="00FB04B2">
        <w:rPr>
          <w:sz w:val="20"/>
          <w:szCs w:val="20"/>
        </w:rPr>
        <w:t>Compliance with the Balance of Dwellings SPD</w:t>
      </w:r>
      <w:r w:rsidR="00FB04B2" w:rsidRPr="00FB04B2">
        <w:rPr>
          <w:rFonts w:eastAsia="Calibri" w:cs="Calibri"/>
          <w:color w:val="000000"/>
          <w:sz w:val="20"/>
          <w:szCs w:val="22"/>
        </w:rPr>
        <w:t xml:space="preserve"> (qualifying completions) 2017/18</w:t>
      </w:r>
      <w:r w:rsidRPr="00FB04B2">
        <w:rPr>
          <w:rFonts w:eastAsia="Calibri" w:cs="Calibri"/>
          <w:szCs w:val="22"/>
        </w:rPr>
        <w:t xml:space="preserve"> </w:t>
      </w:r>
    </w:p>
    <w:p w:rsidR="00126779" w:rsidRPr="00FB04B2" w:rsidRDefault="00126779" w:rsidP="00126779">
      <w:pPr>
        <w:numPr>
          <w:ilvl w:val="1"/>
          <w:numId w:val="8"/>
        </w:numPr>
        <w:autoSpaceDE w:val="0"/>
        <w:autoSpaceDN w:val="0"/>
        <w:adjustRightInd w:val="0"/>
        <w:spacing w:after="200" w:line="276" w:lineRule="auto"/>
        <w:ind w:left="567" w:right="-45" w:hanging="567"/>
        <w:jc w:val="both"/>
        <w:rPr>
          <w:rFonts w:eastAsia="Calibri" w:cs="Calibri"/>
          <w:szCs w:val="22"/>
        </w:rPr>
      </w:pPr>
      <w:r w:rsidRPr="00FB04B2">
        <w:rPr>
          <w:rFonts w:cs="Calibri"/>
          <w:szCs w:val="22"/>
        </w:rPr>
        <w:t>T</w:t>
      </w:r>
      <w:r w:rsidR="00F84B0C">
        <w:rPr>
          <w:rFonts w:cs="Calibri"/>
          <w:szCs w:val="22"/>
        </w:rPr>
        <w:t xml:space="preserve">he </w:t>
      </w:r>
      <w:proofErr w:type="spellStart"/>
      <w:r w:rsidR="00F84B0C">
        <w:rPr>
          <w:rFonts w:cs="Calibri"/>
          <w:szCs w:val="22"/>
        </w:rPr>
        <w:t>BoDs</w:t>
      </w:r>
      <w:proofErr w:type="spellEnd"/>
      <w:r w:rsidR="00F84B0C">
        <w:rPr>
          <w:rFonts w:cs="Calibri"/>
          <w:szCs w:val="22"/>
        </w:rPr>
        <w:t xml:space="preserve"> SPD has been </w:t>
      </w:r>
      <w:r w:rsidRPr="00FB04B2">
        <w:rPr>
          <w:rFonts w:cs="Calibri"/>
          <w:szCs w:val="22"/>
        </w:rPr>
        <w:t>a key tool in ensuring that housing provision meets the need</w:t>
      </w:r>
      <w:r w:rsidR="00F84B0C">
        <w:rPr>
          <w:rFonts w:cs="Calibri"/>
          <w:szCs w:val="22"/>
        </w:rPr>
        <w:t xml:space="preserve">s of a wide range of households, however </w:t>
      </w:r>
      <w:r w:rsidR="004C4FC2">
        <w:rPr>
          <w:rFonts w:cs="Calibri"/>
          <w:szCs w:val="22"/>
        </w:rPr>
        <w:t xml:space="preserve">in light of recent evidence </w:t>
      </w:r>
      <w:r w:rsidR="00F84B0C">
        <w:rPr>
          <w:rFonts w:cs="Calibri"/>
          <w:szCs w:val="22"/>
        </w:rPr>
        <w:t xml:space="preserve">the Council’s proposed submission draft Local Plan 2036 </w:t>
      </w:r>
      <w:r w:rsidR="004C4FC2">
        <w:rPr>
          <w:rFonts w:cs="Calibri"/>
          <w:szCs w:val="22"/>
        </w:rPr>
        <w:t xml:space="preserve">proposes a different approach going forward which the Council believes will help meet housing needs in the city. This new approach still emphasises the importance of a balanced mix of dwelling sizes. </w:t>
      </w:r>
    </w:p>
    <w:bookmarkStart w:id="22" w:name="_Toc529178352"/>
    <w:p w:rsidR="00126779" w:rsidRPr="00700301" w:rsidRDefault="00126779" w:rsidP="00126779">
      <w:pPr>
        <w:outlineLvl w:val="1"/>
        <w:rPr>
          <w:rFonts w:asciiTheme="minorHAnsi" w:hAnsiTheme="minorHAnsi"/>
          <w:b/>
          <w:lang w:eastAsia="en-GB"/>
        </w:rPr>
      </w:pPr>
      <w:r w:rsidRPr="00700301">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81792" behindDoc="1" locked="0" layoutInCell="1" allowOverlap="1" wp14:anchorId="45144200" wp14:editId="3534D39D">
                <wp:simplePos x="0" y="0"/>
                <wp:positionH relativeFrom="column">
                  <wp:posOffset>-66675</wp:posOffset>
                </wp:positionH>
                <wp:positionV relativeFrom="paragraph">
                  <wp:posOffset>-3174</wp:posOffset>
                </wp:positionV>
                <wp:extent cx="5875655" cy="1085850"/>
                <wp:effectExtent l="0" t="0" r="0" b="0"/>
                <wp:wrapNone/>
                <wp:docPr id="277" name="Rectangle 277"/>
                <wp:cNvGraphicFramePr/>
                <a:graphic xmlns:a="http://schemas.openxmlformats.org/drawingml/2006/main">
                  <a:graphicData uri="http://schemas.microsoft.com/office/word/2010/wordprocessingShape">
                    <wps:wsp>
                      <wps:cNvSpPr/>
                      <wps:spPr>
                        <a:xfrm>
                          <a:off x="0" y="0"/>
                          <a:ext cx="5875655" cy="1085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0CB678" id="Rectangle 277" o:spid="_x0000_s1026" style="position:absolute;margin-left:-5.25pt;margin-top:-.25pt;width:462.65pt;height: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" fillcolor="#fcd5b5" stroked="f" strokeweight="2pt"/>
            </w:pict>
          </mc:Fallback>
        </mc:AlternateContent>
      </w:r>
      <w:r w:rsidRPr="00700301">
        <w:rPr>
          <w:rFonts w:asciiTheme="minorHAnsi" w:hAnsiTheme="minorHAnsi"/>
          <w:b/>
          <w:lang w:eastAsia="en-GB"/>
        </w:rPr>
        <w:t>Indicator 16: DEMAND FOR SELF-BUILD AND CUSTOM HOUSEBUILDING PLOTS</w:t>
      </w:r>
      <w:bookmarkEnd w:id="22"/>
    </w:p>
    <w:p w:rsidR="00126779" w:rsidRPr="00700301"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700301" w:rsidRDefault="00126779" w:rsidP="00126779">
      <w:pPr>
        <w:autoSpaceDE w:val="0"/>
        <w:autoSpaceDN w:val="0"/>
        <w:adjustRightInd w:val="0"/>
        <w:spacing w:after="200" w:line="276" w:lineRule="auto"/>
        <w:ind w:right="-46"/>
        <w:jc w:val="both"/>
        <w:rPr>
          <w:rFonts w:eastAsia="Calibri" w:cs="Calibri"/>
          <w:b/>
          <w:color w:val="984806" w:themeColor="accent6" w:themeShade="80"/>
          <w:szCs w:val="22"/>
        </w:rPr>
      </w:pPr>
      <w:r w:rsidRPr="00700301">
        <w:rPr>
          <w:rFonts w:eastAsia="Calibri" w:cs="Calibri"/>
          <w:b/>
          <w:color w:val="984806" w:themeColor="accent6" w:themeShade="80"/>
          <w:szCs w:val="22"/>
        </w:rPr>
        <w:t>The City Council is required to keep a register of individuals and groups who are seeking to acquire serviced plots of land in Oxford on which to build their own homes.</w:t>
      </w:r>
      <w:r w:rsidRPr="00700301">
        <w:rPr>
          <w:rFonts w:eastAsia="Calibri" w:cs="Calibri"/>
          <w:b/>
          <w:color w:val="984806" w:themeColor="accent6" w:themeShade="80"/>
          <w:szCs w:val="22"/>
          <w:vertAlign w:val="superscript"/>
        </w:rPr>
        <w:footnoteReference w:id="25"/>
      </w:r>
      <w:r w:rsidRPr="00700301">
        <w:rPr>
          <w:rFonts w:eastAsia="Calibri" w:cs="Calibri"/>
          <w:b/>
          <w:color w:val="984806" w:themeColor="accent6" w:themeShade="80"/>
          <w:szCs w:val="22"/>
        </w:rPr>
        <w:t xml:space="preserve"> The Planning Practice </w:t>
      </w:r>
      <w:r w:rsidRPr="00700301">
        <w:rPr>
          <w:rFonts w:eastAsia="Calibri" w:cs="Calibri"/>
          <w:b/>
          <w:color w:val="984806" w:themeColor="accent6" w:themeShade="80"/>
          <w:szCs w:val="22"/>
        </w:rPr>
        <w:lastRenderedPageBreak/>
        <w:t xml:space="preserve">Guidance encourages authorities to publish headline information related to their Self-build and Custom Housebuilding Registers in their AMRs.  </w:t>
      </w:r>
    </w:p>
    <w:p w:rsidR="00126779" w:rsidRPr="00764EC2" w:rsidRDefault="00126779" w:rsidP="00764EC2">
      <w:pPr>
        <w:numPr>
          <w:ilvl w:val="1"/>
          <w:numId w:val="8"/>
        </w:numPr>
        <w:autoSpaceDE w:val="0"/>
        <w:autoSpaceDN w:val="0"/>
        <w:adjustRightInd w:val="0"/>
        <w:spacing w:after="200" w:line="276" w:lineRule="auto"/>
        <w:ind w:left="567" w:right="-46" w:hanging="567"/>
        <w:jc w:val="both"/>
        <w:rPr>
          <w:szCs w:val="22"/>
        </w:rPr>
      </w:pPr>
      <w:r w:rsidRPr="00700301">
        <w:rPr>
          <w:szCs w:val="22"/>
        </w:rPr>
        <w:t>Table 17 provides headline information from Oxford’s Self-build and Custom Housebuilding Register. This information will be used to help the City Council understand the demand for serviced self and custom build plots in Oxford.</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6717"/>
        <w:gridCol w:w="2525"/>
      </w:tblGrid>
      <w:tr w:rsidR="00126779" w:rsidRPr="00700301" w:rsidTr="00126779">
        <w:tc>
          <w:tcPr>
            <w:tcW w:w="6717" w:type="dxa"/>
            <w:shd w:val="clear" w:color="auto" w:fill="auto"/>
          </w:tcPr>
          <w:p w:rsidR="00126779" w:rsidRPr="00700301" w:rsidRDefault="00126779" w:rsidP="00126779">
            <w:pPr>
              <w:rPr>
                <w:rFonts w:cstheme="minorHAnsi"/>
                <w:color w:val="262626" w:themeColor="text1" w:themeTint="D9"/>
                <w:sz w:val="20"/>
              </w:rPr>
            </w:pPr>
            <w:r w:rsidRPr="00700301">
              <w:rPr>
                <w:rFonts w:cstheme="minorHAnsi"/>
                <w:color w:val="262626" w:themeColor="text1" w:themeTint="D9"/>
                <w:sz w:val="20"/>
              </w:rPr>
              <w:t>Number of individuals on the Oxford Self and Custom Build Register</w:t>
            </w:r>
          </w:p>
        </w:tc>
        <w:tc>
          <w:tcPr>
            <w:tcW w:w="2525" w:type="dxa"/>
            <w:shd w:val="clear" w:color="auto" w:fill="auto"/>
          </w:tcPr>
          <w:p w:rsidR="00126779" w:rsidRPr="00700301" w:rsidRDefault="00126779" w:rsidP="00126779">
            <w:pPr>
              <w:jc w:val="center"/>
              <w:rPr>
                <w:rFonts w:cstheme="minorHAnsi"/>
                <w:color w:val="262626" w:themeColor="text1" w:themeTint="D9"/>
                <w:sz w:val="20"/>
              </w:rPr>
            </w:pPr>
            <w:r w:rsidRPr="00700301">
              <w:rPr>
                <w:rFonts w:cs="Calibri"/>
                <w:color w:val="262626" w:themeColor="text1" w:themeTint="D9"/>
                <w:sz w:val="20"/>
              </w:rPr>
              <w:t>50</w:t>
            </w:r>
            <w:r w:rsidRPr="00700301">
              <w:rPr>
                <w:rFonts w:cstheme="minorHAnsi"/>
                <w:color w:val="262626" w:themeColor="text1" w:themeTint="D9"/>
                <w:sz w:val="20"/>
              </w:rPr>
              <w:t xml:space="preserve"> Individuals</w:t>
            </w:r>
          </w:p>
        </w:tc>
      </w:tr>
      <w:tr w:rsidR="00126779" w:rsidRPr="00700301" w:rsidTr="00126779">
        <w:tc>
          <w:tcPr>
            <w:tcW w:w="6717" w:type="dxa"/>
            <w:shd w:val="clear" w:color="auto" w:fill="FFFFFF" w:themeFill="background1"/>
          </w:tcPr>
          <w:p w:rsidR="00126779" w:rsidRPr="00700301" w:rsidRDefault="00126779" w:rsidP="00126779">
            <w:pPr>
              <w:rPr>
                <w:rFonts w:asciiTheme="minorHAnsi" w:hAnsiTheme="minorHAnsi" w:cstheme="minorHAnsi"/>
                <w:color w:val="262626" w:themeColor="text1" w:themeTint="D9"/>
                <w:sz w:val="20"/>
              </w:rPr>
            </w:pPr>
            <w:r w:rsidRPr="00700301">
              <w:rPr>
                <w:rFonts w:asciiTheme="minorHAnsi" w:hAnsiTheme="minorHAnsi" w:cstheme="minorHAnsi"/>
                <w:color w:val="262626" w:themeColor="text1" w:themeTint="D9"/>
                <w:sz w:val="20"/>
              </w:rPr>
              <w:t>Number of associations of individuals on the Oxford Self and Custom Build Register</w:t>
            </w:r>
          </w:p>
        </w:tc>
        <w:tc>
          <w:tcPr>
            <w:tcW w:w="2525" w:type="dxa"/>
            <w:shd w:val="clear" w:color="auto" w:fill="auto"/>
          </w:tcPr>
          <w:p w:rsidR="00126779" w:rsidRPr="00700301" w:rsidRDefault="00126779" w:rsidP="00126779">
            <w:pPr>
              <w:jc w:val="center"/>
              <w:rPr>
                <w:rFonts w:asciiTheme="minorHAnsi" w:hAnsiTheme="minorHAnsi" w:cstheme="minorHAnsi"/>
                <w:color w:val="262626" w:themeColor="text1" w:themeTint="D9"/>
                <w:sz w:val="20"/>
              </w:rPr>
            </w:pPr>
            <w:r w:rsidRPr="00700301">
              <w:rPr>
                <w:rFonts w:asciiTheme="minorHAnsi" w:hAnsiTheme="minorHAnsi" w:cstheme="minorHAnsi"/>
                <w:color w:val="262626" w:themeColor="text1" w:themeTint="D9"/>
                <w:sz w:val="20"/>
              </w:rPr>
              <w:t xml:space="preserve">1 Association </w:t>
            </w:r>
          </w:p>
          <w:p w:rsidR="00126779" w:rsidRPr="00700301" w:rsidRDefault="00126779" w:rsidP="00126779">
            <w:pPr>
              <w:jc w:val="center"/>
              <w:rPr>
                <w:rFonts w:asciiTheme="minorHAnsi" w:hAnsiTheme="minorHAnsi" w:cstheme="minorHAnsi"/>
                <w:color w:val="262626" w:themeColor="text1" w:themeTint="D9"/>
                <w:sz w:val="20"/>
              </w:rPr>
            </w:pPr>
            <w:r w:rsidRPr="00700301">
              <w:rPr>
                <w:rFonts w:asciiTheme="minorHAnsi" w:hAnsiTheme="minorHAnsi" w:cstheme="minorHAnsi"/>
                <w:color w:val="262626" w:themeColor="text1" w:themeTint="D9"/>
                <w:sz w:val="20"/>
              </w:rPr>
              <w:t>(20 association members)</w:t>
            </w:r>
          </w:p>
        </w:tc>
      </w:tr>
      <w:tr w:rsidR="00126779" w:rsidRPr="00700301" w:rsidTr="00126779">
        <w:tc>
          <w:tcPr>
            <w:tcW w:w="6717" w:type="dxa"/>
            <w:shd w:val="clear" w:color="auto" w:fill="FDE9D9" w:themeFill="accent6" w:themeFillTint="33"/>
          </w:tcPr>
          <w:p w:rsidR="00126779" w:rsidRPr="00700301" w:rsidRDefault="00126779" w:rsidP="00126779">
            <w:pPr>
              <w:rPr>
                <w:rFonts w:asciiTheme="minorHAnsi" w:hAnsiTheme="minorHAnsi" w:cstheme="minorHAnsi"/>
                <w:b/>
                <w:color w:val="984806" w:themeColor="accent6" w:themeShade="80"/>
                <w:sz w:val="20"/>
              </w:rPr>
            </w:pPr>
            <w:r w:rsidRPr="00700301">
              <w:rPr>
                <w:rFonts w:asciiTheme="minorHAnsi" w:hAnsiTheme="minorHAnsi" w:cstheme="minorHAnsi"/>
                <w:b/>
                <w:color w:val="984806" w:themeColor="accent6" w:themeShade="80"/>
                <w:sz w:val="20"/>
              </w:rPr>
              <w:t>Total number of plots required</w:t>
            </w:r>
          </w:p>
        </w:tc>
        <w:tc>
          <w:tcPr>
            <w:tcW w:w="2525" w:type="dxa"/>
            <w:shd w:val="clear" w:color="auto" w:fill="FDE9D9" w:themeFill="accent6" w:themeFillTint="33"/>
          </w:tcPr>
          <w:p w:rsidR="00126779" w:rsidRPr="00700301" w:rsidRDefault="00126779" w:rsidP="00126779">
            <w:pPr>
              <w:jc w:val="center"/>
              <w:rPr>
                <w:rFonts w:asciiTheme="minorHAnsi" w:hAnsiTheme="minorHAnsi" w:cstheme="minorHAnsi"/>
                <w:b/>
                <w:color w:val="984806" w:themeColor="accent6" w:themeShade="80"/>
                <w:sz w:val="20"/>
              </w:rPr>
            </w:pPr>
            <w:r w:rsidRPr="00700301">
              <w:rPr>
                <w:rFonts w:asciiTheme="minorHAnsi" w:hAnsiTheme="minorHAnsi" w:cstheme="minorHAnsi"/>
                <w:b/>
                <w:color w:val="984806" w:themeColor="accent6" w:themeShade="80"/>
                <w:sz w:val="20"/>
              </w:rPr>
              <w:t>70 plots (49% increase from previous monitoring year)</w:t>
            </w:r>
          </w:p>
        </w:tc>
      </w:tr>
    </w:tbl>
    <w:p w:rsidR="00126779" w:rsidRPr="00351DD4" w:rsidRDefault="00126779" w:rsidP="00126779">
      <w:pPr>
        <w:autoSpaceDE w:val="0"/>
        <w:autoSpaceDN w:val="0"/>
        <w:adjustRightInd w:val="0"/>
        <w:spacing w:after="200" w:line="276" w:lineRule="auto"/>
        <w:ind w:left="567" w:right="-46"/>
        <w:jc w:val="center"/>
        <w:rPr>
          <w:sz w:val="20"/>
          <w:szCs w:val="20"/>
        </w:rPr>
      </w:pPr>
      <w:r w:rsidRPr="00700301">
        <w:rPr>
          <w:rFonts w:eastAsia="Calibri" w:cs="Calibri"/>
          <w:b/>
          <w:color w:val="000000"/>
          <w:sz w:val="20"/>
          <w:szCs w:val="20"/>
        </w:rPr>
        <w:t xml:space="preserve">Table 17: </w:t>
      </w:r>
      <w:r w:rsidRPr="00700301">
        <w:rPr>
          <w:sz w:val="20"/>
          <w:szCs w:val="20"/>
        </w:rPr>
        <w:t>Oxford’s Self and Custom Build Register Headline Information (at 31 March 2018)</w:t>
      </w:r>
    </w:p>
    <w:bookmarkStart w:id="23" w:name="_Toc529178353"/>
    <w:p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69504" behindDoc="1" locked="0" layoutInCell="1" allowOverlap="1" wp14:anchorId="46A7112A" wp14:editId="124A5E03">
                <wp:simplePos x="0" y="0"/>
                <wp:positionH relativeFrom="column">
                  <wp:posOffset>-76200</wp:posOffset>
                </wp:positionH>
                <wp:positionV relativeFrom="paragraph">
                  <wp:posOffset>8890</wp:posOffset>
                </wp:positionV>
                <wp:extent cx="5885180" cy="1419225"/>
                <wp:effectExtent l="0" t="0" r="1270" b="9525"/>
                <wp:wrapNone/>
                <wp:docPr id="89" name="Rectangle 89"/>
                <wp:cNvGraphicFramePr/>
                <a:graphic xmlns:a="http://schemas.openxmlformats.org/drawingml/2006/main">
                  <a:graphicData uri="http://schemas.microsoft.com/office/word/2010/wordprocessingShape">
                    <wps:wsp>
                      <wps:cNvSpPr/>
                      <wps:spPr>
                        <a:xfrm>
                          <a:off x="0" y="0"/>
                          <a:ext cx="5885180" cy="14192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8E9E32" id="Rectangle 89" o:spid="_x0000_s1026" style="position:absolute;margin-left:-6pt;margin-top:.7pt;width:463.4pt;height:11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" fillcolor="#fcd5b5" stroked="f" strokeweight="2pt"/>
            </w:pict>
          </mc:Fallback>
        </mc:AlternateContent>
      </w:r>
      <w:r w:rsidRPr="00351DD4">
        <w:rPr>
          <w:rFonts w:asciiTheme="minorHAnsi" w:hAnsiTheme="minorHAnsi"/>
          <w:b/>
          <w:lang w:eastAsia="en-GB"/>
        </w:rPr>
        <w:t>Indicator 17: STUDENTS AND PURPOSE BUILT STUDENT ACCOMMODATION</w:t>
      </w:r>
      <w:bookmarkEnd w:id="23"/>
    </w:p>
    <w:p w:rsidR="00126779" w:rsidRPr="00351DD4" w:rsidRDefault="00126779" w:rsidP="00126779">
      <w:pPr>
        <w:autoSpaceDE w:val="0"/>
        <w:autoSpaceDN w:val="0"/>
        <w:adjustRightInd w:val="0"/>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No increase in academic </w:t>
      </w:r>
      <w:proofErr w:type="spellStart"/>
      <w:r w:rsidRPr="00351DD4">
        <w:rPr>
          <w:rFonts w:eastAsia="Calibri" w:cs="Calibri"/>
          <w:b/>
          <w:color w:val="984806" w:themeColor="accent6" w:themeShade="80"/>
          <w:szCs w:val="22"/>
        </w:rPr>
        <w:t>floorspace</w:t>
      </w:r>
      <w:proofErr w:type="spellEnd"/>
      <w:r w:rsidRPr="00351DD4">
        <w:rPr>
          <w:rFonts w:eastAsia="Calibri" w:cs="Calibri"/>
          <w:b/>
          <w:color w:val="984806" w:themeColor="accent6" w:themeShade="80"/>
          <w:szCs w:val="22"/>
        </w:rPr>
        <w:t xml:space="preserve"> if there are more than 3,000 students outside of accommodation provided by the relevant university. </w:t>
      </w:r>
      <w:r w:rsidRPr="00351DD4">
        <w:rPr>
          <w:rFonts w:eastAsia="Calibri" w:cs="Calibri"/>
          <w:color w:val="984806" w:themeColor="accent6" w:themeShade="80"/>
          <w:sz w:val="20"/>
          <w:szCs w:val="22"/>
        </w:rPr>
        <w:t>(Oxford Core Strategy Policy CS25)</w:t>
      </w:r>
    </w:p>
    <w:p w:rsidR="00126779" w:rsidRPr="00351DD4"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rsidTr="00126779">
        <w:trPr>
          <w:trHeight w:val="218"/>
        </w:trPr>
        <w:tc>
          <w:tcPr>
            <w:tcW w:w="5420" w:type="dxa"/>
          </w:tcPr>
          <w:p w:rsidR="00126779" w:rsidRPr="00351DD4" w:rsidRDefault="00126779" w:rsidP="00126779">
            <w:pPr>
              <w:autoSpaceDE w:val="0"/>
              <w:autoSpaceDN w:val="0"/>
              <w:adjustRightInd w:val="0"/>
              <w:ind w:left="-108"/>
              <w:rPr>
                <w:b/>
                <w:noProof/>
                <w:color w:val="984806" w:themeColor="accent6" w:themeShade="80"/>
                <w:szCs w:val="16"/>
                <w:lang w:eastAsia="en-GB"/>
              </w:rPr>
            </w:pPr>
            <w:r>
              <w:rPr>
                <w:rFonts w:eastAsia="Calibri" w:cs="Calibri"/>
                <w:b/>
                <w:color w:val="984806" w:themeColor="accent6" w:themeShade="80"/>
              </w:rPr>
              <w:t>Performance against target 2017/18</w:t>
            </w:r>
            <w:r w:rsidRPr="00351DD4">
              <w:rPr>
                <w:rFonts w:eastAsia="Calibri" w:cs="Calibri"/>
                <w:b/>
                <w:color w:val="984806" w:themeColor="accent6" w:themeShade="80"/>
              </w:rPr>
              <w:t>:</w:t>
            </w:r>
          </w:p>
        </w:tc>
        <w:tc>
          <w:tcPr>
            <w:tcW w:w="3714"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c>
          <w:tcPr>
            <w:tcW w:w="5420" w:type="dxa"/>
            <w:vMerge w:val="restart"/>
          </w:tcPr>
          <w:p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p w:rsidR="00126779" w:rsidRPr="00351DD4" w:rsidRDefault="00126779" w:rsidP="00126779">
            <w:pPr>
              <w:autoSpaceDE w:val="0"/>
              <w:autoSpaceDN w:val="0"/>
              <w:adjustRightInd w:val="0"/>
              <w:jc w:val="center"/>
              <w:rPr>
                <w:rFonts w:eastAsia="Calibri" w:cs="Calibri"/>
                <w:b/>
                <w:color w:val="984806" w:themeColor="accent6" w:themeShade="80"/>
                <w:szCs w:val="12"/>
              </w:rPr>
            </w:pPr>
            <w:r w:rsidRPr="00351DD4">
              <w:rPr>
                <w:b/>
                <w:noProof/>
                <w:sz w:val="28"/>
                <w:szCs w:val="32"/>
                <w:lang w:eastAsia="en-GB"/>
              </w:rPr>
              <w:drawing>
                <wp:inline distT="0" distB="0" distL="0" distR="0" wp14:anchorId="4A056631" wp14:editId="4C2E3C1E">
                  <wp:extent cx="1390650" cy="433702"/>
                  <wp:effectExtent l="0" t="0" r="0" b="5080"/>
                  <wp:docPr id="244" name="Picture 24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r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24C52E55" wp14:editId="3B8F27C7">
                  <wp:extent cx="819509" cy="255580"/>
                  <wp:effectExtent l="0" t="0" r="0" b="0"/>
                  <wp:docPr id="245" name="Picture 24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126779" w:rsidRPr="00351DD4" w:rsidRDefault="00126779" w:rsidP="00126779">
            <w:pPr>
              <w:autoSpaceDE w:val="0"/>
              <w:autoSpaceDN w:val="0"/>
              <w:adjustRightInd w:val="0"/>
              <w:jc w:val="center"/>
              <w:rPr>
                <w:rFonts w:eastAsia="Calibri" w:cs="Calibri"/>
                <w:b/>
                <w:color w:val="984806" w:themeColor="accent6" w:themeShade="80"/>
                <w:sz w:val="4"/>
                <w:szCs w:val="8"/>
              </w:rPr>
            </w:pPr>
          </w:p>
        </w:tc>
      </w:tr>
      <w:tr w:rsidR="00126779" w:rsidRPr="00351DD4" w:rsidTr="00126779">
        <w:tc>
          <w:tcPr>
            <w:tcW w:w="5420"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rsidR="00126779" w:rsidRPr="00351DD4" w:rsidRDefault="00126779"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2015/16</w:t>
            </w:r>
            <w:r w:rsidRPr="00351DD4">
              <w:rPr>
                <w:rFonts w:eastAsia="Calibri" w:cs="Calibri"/>
                <w:b/>
                <w:color w:val="984806" w:themeColor="accent6" w:themeShade="80"/>
              </w:rPr>
              <w:t>:</w:t>
            </w:r>
          </w:p>
        </w:tc>
        <w:tc>
          <w:tcPr>
            <w:tcW w:w="2613"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7DF5E045" wp14:editId="5CA9B53F">
                  <wp:extent cx="819509" cy="255580"/>
                  <wp:effectExtent l="0" t="0" r="0" b="0"/>
                  <wp:docPr id="246" name="Picture 2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126779" w:rsidRPr="00351DD4" w:rsidRDefault="00126779" w:rsidP="00126779">
      <w:pPr>
        <w:rPr>
          <w:sz w:val="20"/>
        </w:rPr>
      </w:pPr>
    </w:p>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Times New Roman"/>
          <w:szCs w:val="22"/>
        </w:rPr>
      </w:pPr>
      <w:r w:rsidRPr="00351DD4">
        <w:rPr>
          <w:rFonts w:eastAsia="Calibri" w:cs="Times New Roman"/>
          <w:szCs w:val="22"/>
        </w:rPr>
        <w:t>Core</w:t>
      </w:r>
      <w:r w:rsidRPr="00351DD4">
        <w:t xml:space="preserve"> </w:t>
      </w:r>
      <w:r w:rsidRPr="00351DD4">
        <w:rPr>
          <w:rFonts w:eastAsia="Calibri" w:cs="Times New Roman"/>
          <w:szCs w:val="22"/>
        </w:rPr>
        <w:t xml:space="preserve">Strategy Policy CS25 requires each university to have no more than 3,000 full-time students living outside of university provided accommodation in the city. The policy is intended to reduce the pressures from students on the private rental market. To avoid worsening the situation, all increases in academic </w:t>
      </w:r>
      <w:proofErr w:type="spellStart"/>
      <w:r w:rsidRPr="00351DD4">
        <w:rPr>
          <w:rFonts w:eastAsia="Calibri" w:cs="Times New Roman"/>
          <w:szCs w:val="22"/>
        </w:rPr>
        <w:t>floorspace</w:t>
      </w:r>
      <w:proofErr w:type="spellEnd"/>
      <w:r w:rsidRPr="00351DD4">
        <w:rPr>
          <w:rFonts w:eastAsia="Calibri" w:cs="Times New Roman"/>
          <w:szCs w:val="22"/>
        </w:rPr>
        <w:t xml:space="preserve"> that would facilitate an increase in student numbers at the two universities should be matched by an equivalent increase in student accommodation provided by the relevant university. All applications for net increases in academic </w:t>
      </w:r>
      <w:proofErr w:type="spellStart"/>
      <w:r w:rsidRPr="00351DD4">
        <w:rPr>
          <w:rFonts w:eastAsia="Calibri" w:cs="Times New Roman"/>
          <w:szCs w:val="22"/>
        </w:rPr>
        <w:t>floorspace</w:t>
      </w:r>
      <w:proofErr w:type="spellEnd"/>
      <w:r w:rsidRPr="00351DD4">
        <w:rPr>
          <w:rFonts w:eastAsia="Calibri" w:cs="Times New Roman"/>
          <w:szCs w:val="22"/>
        </w:rPr>
        <w:t xml:space="preserve"> will be assessed on this basis.</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Times New Roman"/>
          <w:szCs w:val="22"/>
        </w:rPr>
      </w:pPr>
      <w:r w:rsidRPr="00351DD4">
        <w:rPr>
          <w:rFonts w:eastAsia="Calibri" w:cs="Times New Roman"/>
          <w:szCs w:val="22"/>
        </w:rPr>
        <w:t>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2016.</w:t>
      </w: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University of Oxford</w:t>
      </w:r>
    </w:p>
    <w:p w:rsidR="00126779" w:rsidRPr="00351DD4" w:rsidRDefault="00126779" w:rsidP="00126779">
      <w:pPr>
        <w:numPr>
          <w:ilvl w:val="1"/>
          <w:numId w:val="8"/>
        </w:numPr>
        <w:autoSpaceDE w:val="0"/>
        <w:autoSpaceDN w:val="0"/>
        <w:adjustRightInd w:val="0"/>
        <w:spacing w:after="120" w:line="276" w:lineRule="auto"/>
        <w:ind w:left="567" w:right="-45" w:hanging="567"/>
        <w:jc w:val="both"/>
        <w:rPr>
          <w:rFonts w:eastAsia="Calibri" w:cs="Times New Roman"/>
          <w:szCs w:val="22"/>
        </w:rPr>
      </w:pPr>
      <w:r w:rsidRPr="00351DD4">
        <w:rPr>
          <w:rFonts w:eastAsia="Calibri" w:cs="Times New Roman"/>
          <w:szCs w:val="22"/>
        </w:rPr>
        <w:t xml:space="preserve">The University of Oxford states that there were </w:t>
      </w:r>
      <w:r w:rsidRPr="00351DD4">
        <w:rPr>
          <w:rFonts w:cs="Calibri"/>
          <w:color w:val="000000"/>
          <w:szCs w:val="20"/>
        </w:rPr>
        <w:t>23,</w:t>
      </w:r>
      <w:r>
        <w:rPr>
          <w:rFonts w:cs="Calibri"/>
          <w:color w:val="000000"/>
          <w:szCs w:val="20"/>
        </w:rPr>
        <w:t>975</w:t>
      </w:r>
      <w:r w:rsidRPr="00351DD4">
        <w:rPr>
          <w:rFonts w:eastAsia="Calibri" w:cs="Times New Roman"/>
          <w:szCs w:val="22"/>
        </w:rPr>
        <w:t xml:space="preserve"> students attending the University (and </w:t>
      </w:r>
      <w:r>
        <w:rPr>
          <w:rFonts w:eastAsia="Calibri" w:cs="Times New Roman"/>
          <w:szCs w:val="22"/>
        </w:rPr>
        <w:t>its colleges) at 1 December 2017</w:t>
      </w:r>
      <w:r w:rsidRPr="00351DD4">
        <w:rPr>
          <w:rFonts w:eastAsia="Calibri" w:cs="Times New Roman"/>
          <w:szCs w:val="22"/>
        </w:rPr>
        <w:t>.</w:t>
      </w:r>
    </w:p>
    <w:p w:rsidR="00126779" w:rsidRPr="00351DD4" w:rsidRDefault="00126779" w:rsidP="00126779">
      <w:pPr>
        <w:numPr>
          <w:ilvl w:val="1"/>
          <w:numId w:val="8"/>
        </w:numPr>
        <w:autoSpaceDE w:val="0"/>
        <w:autoSpaceDN w:val="0"/>
        <w:adjustRightInd w:val="0"/>
        <w:spacing w:line="276" w:lineRule="auto"/>
        <w:ind w:left="567" w:right="-45" w:hanging="567"/>
        <w:jc w:val="both"/>
        <w:rPr>
          <w:rFonts w:eastAsia="Calibri" w:cs="Times New Roman"/>
          <w:szCs w:val="22"/>
        </w:rPr>
      </w:pPr>
      <w:r w:rsidRPr="00351DD4">
        <w:rPr>
          <w:rFonts w:eastAsia="Calibri" w:cs="Times New Roman"/>
          <w:szCs w:val="22"/>
        </w:rPr>
        <w:t>A number of agreed exclusions apply to the data:</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with a term-time address outside of the city (</w:t>
      </w:r>
      <w:r>
        <w:rPr>
          <w:rFonts w:cs="Calibri"/>
          <w:color w:val="000000"/>
          <w:szCs w:val="20"/>
        </w:rPr>
        <w:t>184</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living within the city prior to entry onto a course (</w:t>
      </w:r>
      <w:r>
        <w:rPr>
          <w:rFonts w:cs="Calibri"/>
          <w:color w:val="000000"/>
          <w:szCs w:val="20"/>
        </w:rPr>
        <w:t>1,008</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Visiting students (</w:t>
      </w:r>
      <w:r>
        <w:rPr>
          <w:rFonts w:cs="Calibri"/>
          <w:color w:val="000000"/>
          <w:szCs w:val="20"/>
        </w:rPr>
        <w:t>541</w:t>
      </w:r>
      <w:r w:rsidRPr="00351DD4">
        <w:rPr>
          <w:rFonts w:eastAsia="Calibri" w:cs="Times New Roman"/>
          <w:szCs w:val="22"/>
        </w:rPr>
        <w:t xml:space="preserve"> students) or those not attending the institution (</w:t>
      </w:r>
      <w:r w:rsidRPr="00351DD4">
        <w:rPr>
          <w:rFonts w:cs="Calibri"/>
          <w:color w:val="000000"/>
          <w:szCs w:val="20"/>
        </w:rPr>
        <w:t>nil</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Part-time students (</w:t>
      </w:r>
      <w:r>
        <w:rPr>
          <w:rFonts w:cs="Calibri"/>
          <w:color w:val="000000"/>
          <w:szCs w:val="20"/>
        </w:rPr>
        <w:t>2,771</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Postgraduate research students past year four/assumed to be writing up (</w:t>
      </w:r>
      <w:r>
        <w:rPr>
          <w:rFonts w:cs="Calibri"/>
          <w:color w:val="000000"/>
          <w:szCs w:val="20"/>
        </w:rPr>
        <w:t>452</w:t>
      </w:r>
      <w:r w:rsidRPr="00351DD4">
        <w:rPr>
          <w:rFonts w:cs="Calibri"/>
          <w:color w:val="000000"/>
          <w:szCs w:val="20"/>
        </w:rPr>
        <w:t xml:space="preserve"> students</w:t>
      </w:r>
      <w:r w:rsidRPr="00351DD4">
        <w:rPr>
          <w:rFonts w:eastAsia="Calibri" w:cs="Times New Roman"/>
          <w:szCs w:val="22"/>
        </w:rPr>
        <w:t>)</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working full time for the NHS (</w:t>
      </w:r>
      <w:proofErr w:type="spellStart"/>
      <w:r w:rsidRPr="00351DD4">
        <w:rPr>
          <w:rFonts w:eastAsia="Calibri" w:cs="Times New Roman"/>
          <w:szCs w:val="22"/>
        </w:rPr>
        <w:t>DClinPsyc</w:t>
      </w:r>
      <w:proofErr w:type="spellEnd"/>
      <w:r w:rsidRPr="00351DD4">
        <w:rPr>
          <w:rFonts w:eastAsia="Calibri" w:cs="Times New Roman"/>
          <w:szCs w:val="22"/>
        </w:rPr>
        <w:t xml:space="preserve"> Students) (</w:t>
      </w:r>
      <w:r w:rsidRPr="00351DD4">
        <w:rPr>
          <w:rFonts w:cs="Calibri"/>
          <w:color w:val="000000"/>
          <w:szCs w:val="20"/>
        </w:rPr>
        <w:t>49</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Specific course exclusions</w:t>
      </w:r>
      <w:r w:rsidRPr="00351DD4">
        <w:rPr>
          <w:rFonts w:eastAsia="Calibri" w:cs="Times New Roman"/>
          <w:szCs w:val="22"/>
          <w:vertAlign w:val="superscript"/>
        </w:rPr>
        <w:t xml:space="preserve"> </w:t>
      </w:r>
      <w:r w:rsidRPr="00351DD4">
        <w:t>(</w:t>
      </w:r>
      <w:proofErr w:type="spellStart"/>
      <w:r w:rsidRPr="00351DD4">
        <w:t>BTh</w:t>
      </w:r>
      <w:proofErr w:type="spellEnd"/>
      <w:r w:rsidRPr="00351DD4">
        <w:t xml:space="preserve"> Theology and MTh Applied Theology) (</w:t>
      </w:r>
      <w:r>
        <w:rPr>
          <w:rFonts w:cs="Calibri"/>
          <w:color w:val="000000"/>
          <w:szCs w:val="20"/>
        </w:rPr>
        <w:t>38</w:t>
      </w:r>
      <w:r w:rsidRPr="00351DD4">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lastRenderedPageBreak/>
        <w:t>Students who are also members of staff (</w:t>
      </w:r>
      <w:r>
        <w:rPr>
          <w:rFonts w:cs="Calibri"/>
          <w:color w:val="000000"/>
          <w:szCs w:val="20"/>
        </w:rPr>
        <w:t>228</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living with their parents (</w:t>
      </w:r>
      <w:r>
        <w:rPr>
          <w:rFonts w:cs="Calibri"/>
          <w:color w:val="000000"/>
          <w:szCs w:val="20"/>
        </w:rPr>
        <w:t>130</w:t>
      </w:r>
      <w:r w:rsidRPr="00351DD4">
        <w:rPr>
          <w:rFonts w:eastAsia="Calibri" w:cs="Times New Roman"/>
          <w:szCs w:val="22"/>
        </w:rPr>
        <w:t xml:space="preserve"> students)</w:t>
      </w:r>
    </w:p>
    <w:p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on a year abroad (</w:t>
      </w:r>
      <w:r>
        <w:rPr>
          <w:rFonts w:cs="Calibri"/>
          <w:color w:val="000000"/>
          <w:szCs w:val="20"/>
        </w:rPr>
        <w:t>353</w:t>
      </w:r>
      <w:r w:rsidRPr="00351DD4">
        <w:rPr>
          <w:rFonts w:eastAsia="Calibri" w:cs="Times New Roman"/>
          <w:szCs w:val="22"/>
        </w:rPr>
        <w:t xml:space="preserve"> students)</w:t>
      </w:r>
    </w:p>
    <w:p w:rsidR="00126779" w:rsidRPr="00351DD4" w:rsidRDefault="00126779" w:rsidP="00126779">
      <w:pPr>
        <w:tabs>
          <w:tab w:val="left" w:pos="426"/>
        </w:tabs>
        <w:autoSpaceDE w:val="0"/>
        <w:autoSpaceDN w:val="0"/>
        <w:adjustRightInd w:val="0"/>
        <w:spacing w:after="120"/>
        <w:ind w:left="851" w:right="96"/>
        <w:contextualSpacing/>
        <w:jc w:val="both"/>
        <w:rPr>
          <w:rFonts w:eastAsia="Calibri" w:cs="Times New Roman"/>
          <w:szCs w:val="22"/>
        </w:rPr>
      </w:pPr>
    </w:p>
    <w:p w:rsidR="00126779" w:rsidRPr="00351DD4" w:rsidRDefault="00126779" w:rsidP="00126779">
      <w:pPr>
        <w:numPr>
          <w:ilvl w:val="1"/>
          <w:numId w:val="8"/>
        </w:numPr>
        <w:autoSpaceDE w:val="0"/>
        <w:autoSpaceDN w:val="0"/>
        <w:adjustRightInd w:val="0"/>
        <w:spacing w:after="120" w:line="276" w:lineRule="auto"/>
        <w:ind w:left="567" w:right="-45" w:hanging="567"/>
        <w:jc w:val="both"/>
        <w:rPr>
          <w:rFonts w:eastAsia="Calibri" w:cs="Times New Roman"/>
          <w:szCs w:val="22"/>
        </w:rPr>
      </w:pPr>
      <w:r w:rsidRPr="00351DD4">
        <w:rPr>
          <w:rFonts w:eastAsia="Calibri" w:cs="Times New Roman"/>
          <w:szCs w:val="22"/>
        </w:rPr>
        <w:t xml:space="preserve">Taking into account these exclusions, there were </w:t>
      </w:r>
      <w:r>
        <w:rPr>
          <w:rFonts w:cs="Calibri"/>
          <w:color w:val="000000"/>
          <w:szCs w:val="20"/>
        </w:rPr>
        <w:t>18,221</w:t>
      </w:r>
      <w:r w:rsidRPr="00351DD4">
        <w:rPr>
          <w:rFonts w:eastAsia="Calibri" w:cs="Times New Roman"/>
          <w:szCs w:val="22"/>
        </w:rPr>
        <w:t xml:space="preserve"> full-time University of Oxford students with accommodation </w:t>
      </w:r>
      <w:r>
        <w:rPr>
          <w:rFonts w:eastAsia="Calibri" w:cs="Times New Roman"/>
          <w:szCs w:val="22"/>
        </w:rPr>
        <w:t>requirements. At 1 December 2017</w:t>
      </w:r>
      <w:r w:rsidRPr="00351DD4">
        <w:rPr>
          <w:rFonts w:eastAsia="Calibri" w:cs="Times New Roman"/>
          <w:szCs w:val="22"/>
        </w:rPr>
        <w:t xml:space="preserve"> there were </w:t>
      </w:r>
      <w:r>
        <w:rPr>
          <w:rFonts w:cs="Calibri"/>
          <w:color w:val="000000"/>
          <w:szCs w:val="20"/>
        </w:rPr>
        <w:t>15,047</w:t>
      </w:r>
      <w:r w:rsidRPr="00351DD4">
        <w:rPr>
          <w:rFonts w:eastAsia="Calibri" w:cs="Times New Roman"/>
          <w:szCs w:val="22"/>
        </w:rPr>
        <w:t xml:space="preserve"> accommodation places provided across the collegiate University. This leaves a total of </w:t>
      </w:r>
      <w:r>
        <w:rPr>
          <w:rFonts w:cs="Calibri"/>
          <w:color w:val="000000"/>
          <w:szCs w:val="20"/>
        </w:rPr>
        <w:t>3,174</w:t>
      </w:r>
      <w:r w:rsidRPr="00351DD4">
        <w:rPr>
          <w:rFonts w:eastAsia="Calibri" w:cs="Times New Roman"/>
          <w:szCs w:val="22"/>
        </w:rPr>
        <w:t xml:space="preserve"> students living outside of university provided acco</w:t>
      </w:r>
      <w:r w:rsidR="004C4FC2">
        <w:rPr>
          <w:rFonts w:eastAsia="Calibri" w:cs="Times New Roman"/>
          <w:szCs w:val="22"/>
        </w:rPr>
        <w:t>mmodation in Oxford, which exceeds</w:t>
      </w:r>
      <w:r w:rsidRPr="00351DD4">
        <w:rPr>
          <w:rFonts w:eastAsia="Calibri" w:cs="Times New Roman"/>
          <w:szCs w:val="22"/>
        </w:rPr>
        <w:t xml:space="preserve"> the Core Strategy target (Figure 6).</w:t>
      </w:r>
    </w:p>
    <w:p w:rsidR="00126779" w:rsidRPr="00351DD4" w:rsidRDefault="00126779" w:rsidP="00126779">
      <w:pPr>
        <w:autoSpaceDE w:val="0"/>
        <w:autoSpaceDN w:val="0"/>
        <w:adjustRightInd w:val="0"/>
        <w:spacing w:line="276" w:lineRule="auto"/>
        <w:contextualSpacing/>
        <w:jc w:val="center"/>
        <w:rPr>
          <w:noProof/>
          <w:lang w:eastAsia="en-GB"/>
        </w:rPr>
      </w:pPr>
      <w:r>
        <w:rPr>
          <w:noProof/>
          <w:lang w:eastAsia="en-GB"/>
        </w:rPr>
        <w:drawing>
          <wp:inline distT="0" distB="0" distL="0" distR="0" wp14:anchorId="759B073A" wp14:editId="57713800">
            <wp:extent cx="5731510" cy="3346443"/>
            <wp:effectExtent l="0" t="0" r="21590" b="2603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6779" w:rsidRPr="00351DD4" w:rsidRDefault="00126779" w:rsidP="00126779">
      <w:pPr>
        <w:autoSpaceDE w:val="0"/>
        <w:autoSpaceDN w:val="0"/>
        <w:adjustRightInd w:val="0"/>
        <w:spacing w:line="276" w:lineRule="auto"/>
        <w:ind w:left="360"/>
        <w:contextualSpacing/>
        <w:jc w:val="center"/>
        <w:rPr>
          <w:rFonts w:eastAsia="Calibri" w:cs="Calibri"/>
          <w:color w:val="000000"/>
          <w:sz w:val="20"/>
          <w:szCs w:val="22"/>
        </w:rPr>
      </w:pPr>
      <w:r w:rsidRPr="00351DD4">
        <w:rPr>
          <w:sz w:val="16"/>
          <w:szCs w:val="16"/>
        </w:rPr>
        <w:t xml:space="preserve"> </w:t>
      </w:r>
      <w:r w:rsidRPr="00351DD4">
        <w:rPr>
          <w:rFonts w:eastAsia="Calibri" w:cs="Calibri"/>
          <w:b/>
          <w:color w:val="000000"/>
          <w:sz w:val="20"/>
          <w:szCs w:val="20"/>
        </w:rPr>
        <w:t xml:space="preserve">Figure 6: </w:t>
      </w:r>
      <w:r w:rsidRPr="00351DD4">
        <w:rPr>
          <w:rFonts w:eastAsia="Calibri" w:cs="Calibri"/>
          <w:color w:val="000000"/>
          <w:sz w:val="20"/>
          <w:szCs w:val="22"/>
        </w:rPr>
        <w:t>University of Oxford students living outside of university</w:t>
      </w:r>
    </w:p>
    <w:p w:rsidR="00126779" w:rsidRPr="00351DD4" w:rsidRDefault="00126779" w:rsidP="00126779">
      <w:pPr>
        <w:autoSpaceDE w:val="0"/>
        <w:autoSpaceDN w:val="0"/>
        <w:adjustRightInd w:val="0"/>
        <w:spacing w:after="200" w:line="276" w:lineRule="auto"/>
        <w:ind w:left="360"/>
        <w:contextualSpacing/>
        <w:jc w:val="center"/>
        <w:rPr>
          <w:rFonts w:eastAsia="Calibri" w:cs="Calibri"/>
          <w:color w:val="000000"/>
          <w:sz w:val="20"/>
          <w:szCs w:val="22"/>
        </w:rPr>
      </w:pPr>
      <w:proofErr w:type="gramStart"/>
      <w:r w:rsidRPr="00351DD4">
        <w:rPr>
          <w:rFonts w:eastAsia="Calibri" w:cs="Calibri"/>
          <w:color w:val="000000"/>
          <w:sz w:val="20"/>
          <w:szCs w:val="22"/>
        </w:rPr>
        <w:t>provided</w:t>
      </w:r>
      <w:proofErr w:type="gramEnd"/>
      <w:r w:rsidRPr="00351DD4">
        <w:rPr>
          <w:rFonts w:eastAsia="Calibri" w:cs="Calibri"/>
          <w:color w:val="000000"/>
          <w:sz w:val="20"/>
          <w:szCs w:val="22"/>
        </w:rPr>
        <w:t xml:space="preserve"> accommodation 2010/11-201</w:t>
      </w:r>
      <w:r>
        <w:rPr>
          <w:rFonts w:eastAsia="Calibri" w:cs="Calibri"/>
          <w:color w:val="000000"/>
          <w:sz w:val="20"/>
          <w:szCs w:val="22"/>
        </w:rPr>
        <w:t>7/18</w:t>
      </w:r>
    </w:p>
    <w:p w:rsidR="00126779" w:rsidRPr="00351DD4" w:rsidRDefault="00126779" w:rsidP="00126779">
      <w:pPr>
        <w:autoSpaceDE w:val="0"/>
        <w:autoSpaceDN w:val="0"/>
        <w:adjustRightInd w:val="0"/>
        <w:spacing w:after="200" w:line="276" w:lineRule="auto"/>
        <w:ind w:left="360"/>
        <w:contextualSpacing/>
        <w:jc w:val="center"/>
        <w:rPr>
          <w:rFonts w:eastAsia="Calibri" w:cs="Calibri"/>
          <w:color w:val="000000"/>
          <w:sz w:val="10"/>
          <w:szCs w:val="22"/>
        </w:rPr>
      </w:pPr>
    </w:p>
    <w:p w:rsidR="00126779" w:rsidRPr="00351DD4" w:rsidRDefault="00126779" w:rsidP="00126779">
      <w:pPr>
        <w:numPr>
          <w:ilvl w:val="1"/>
          <w:numId w:val="8"/>
        </w:numPr>
        <w:spacing w:after="120" w:line="276" w:lineRule="auto"/>
        <w:ind w:left="567" w:hanging="567"/>
        <w:rPr>
          <w:rFonts w:eastAsia="Calibri" w:cs="Times New Roman"/>
          <w:szCs w:val="22"/>
        </w:rPr>
      </w:pPr>
      <w:r w:rsidRPr="00351DD4">
        <w:rPr>
          <w:rFonts w:eastAsia="Calibri" w:cs="Times New Roman"/>
          <w:szCs w:val="22"/>
        </w:rPr>
        <w:t>At 1 D</w:t>
      </w:r>
      <w:r>
        <w:rPr>
          <w:rFonts w:eastAsia="Calibri" w:cs="Times New Roman"/>
          <w:szCs w:val="22"/>
        </w:rPr>
        <w:t>ecember 2017 there were also 996</w:t>
      </w:r>
      <w:r w:rsidRPr="00351DD4">
        <w:rPr>
          <w:rFonts w:eastAsia="Calibri" w:cs="Times New Roman"/>
          <w:szCs w:val="22"/>
        </w:rPr>
        <w:t xml:space="preserve"> student accommodation places under construction across the collegiate University and extant plannin</w:t>
      </w:r>
      <w:r>
        <w:rPr>
          <w:rFonts w:eastAsia="Calibri" w:cs="Times New Roman"/>
          <w:szCs w:val="22"/>
        </w:rPr>
        <w:t>g permissions for a  further 128</w:t>
      </w:r>
      <w:r w:rsidRPr="00351DD4">
        <w:rPr>
          <w:rFonts w:eastAsia="Calibri" w:cs="Times New Roman"/>
          <w:szCs w:val="22"/>
        </w:rPr>
        <w:t xml:space="preserve"> student accommodation places.</w:t>
      </w: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Oxford Brookes University</w:t>
      </w:r>
    </w:p>
    <w:p w:rsidR="00126779" w:rsidRPr="00351DD4" w:rsidRDefault="00126779" w:rsidP="00126779">
      <w:pPr>
        <w:numPr>
          <w:ilvl w:val="1"/>
          <w:numId w:val="8"/>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Oxford Brookes University states that there were a total of </w:t>
      </w:r>
      <w:r>
        <w:rPr>
          <w:rFonts w:cs="Calibri"/>
          <w:color w:val="000000"/>
          <w:szCs w:val="20"/>
        </w:rPr>
        <w:t>16,988</w:t>
      </w:r>
      <w:r w:rsidRPr="00351DD4">
        <w:rPr>
          <w:rFonts w:eastAsia="Calibri" w:cs="Calibri"/>
          <w:szCs w:val="22"/>
        </w:rPr>
        <w:t xml:space="preserve"> students attending t</w:t>
      </w:r>
      <w:r>
        <w:rPr>
          <w:rFonts w:eastAsia="Calibri" w:cs="Calibri"/>
          <w:szCs w:val="22"/>
        </w:rPr>
        <w:t>he university at 1 December 2017</w:t>
      </w:r>
      <w:r w:rsidRPr="00351DD4">
        <w:rPr>
          <w:rFonts w:eastAsia="Calibri" w:cs="Calibri"/>
          <w:szCs w:val="22"/>
        </w:rPr>
        <w:t>.</w:t>
      </w:r>
    </w:p>
    <w:p w:rsidR="00126779" w:rsidRPr="00351DD4" w:rsidRDefault="00126779" w:rsidP="00126779">
      <w:pPr>
        <w:numPr>
          <w:ilvl w:val="1"/>
          <w:numId w:val="8"/>
        </w:numPr>
        <w:autoSpaceDE w:val="0"/>
        <w:autoSpaceDN w:val="0"/>
        <w:adjustRightInd w:val="0"/>
        <w:spacing w:line="276" w:lineRule="auto"/>
        <w:ind w:left="567" w:right="-45" w:hanging="567"/>
        <w:jc w:val="both"/>
        <w:rPr>
          <w:rFonts w:eastAsia="Calibri" w:cs="Calibri"/>
          <w:szCs w:val="22"/>
        </w:rPr>
      </w:pPr>
      <w:r w:rsidRPr="00351DD4">
        <w:rPr>
          <w:rFonts w:eastAsia="Calibri" w:cs="Calibri"/>
          <w:szCs w:val="22"/>
        </w:rPr>
        <w:t xml:space="preserve">A number of agreed exclusions apply to the data: </w:t>
      </w:r>
    </w:p>
    <w:p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Part-time students (</w:t>
      </w:r>
      <w:r>
        <w:rPr>
          <w:rFonts w:cs="Calibri"/>
          <w:color w:val="000000"/>
          <w:szCs w:val="20"/>
        </w:rPr>
        <w:t>2,597</w:t>
      </w:r>
      <w:r w:rsidRPr="00351DD4">
        <w:rPr>
          <w:rFonts w:eastAsia="Calibri" w:cs="Calibri"/>
          <w:szCs w:val="22"/>
        </w:rPr>
        <w:t xml:space="preserve"> students)</w:t>
      </w:r>
    </w:p>
    <w:p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Students studying at franchise institutions (</w:t>
      </w:r>
      <w:r>
        <w:rPr>
          <w:rFonts w:cs="Calibri"/>
          <w:color w:val="000000"/>
          <w:szCs w:val="20"/>
        </w:rPr>
        <w:t>1,282</w:t>
      </w:r>
      <w:r w:rsidRPr="00351DD4">
        <w:rPr>
          <w:rFonts w:eastAsia="Calibri" w:cs="Calibri"/>
          <w:szCs w:val="22"/>
        </w:rPr>
        <w:t xml:space="preserve"> students)</w:t>
      </w:r>
    </w:p>
    <w:p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Students studying outside Oxford (i.e. Swindon campus) (</w:t>
      </w:r>
      <w:r>
        <w:rPr>
          <w:rFonts w:cs="Calibri"/>
          <w:color w:val="000000"/>
          <w:szCs w:val="20"/>
        </w:rPr>
        <w:t>369</w:t>
      </w:r>
      <w:r w:rsidRPr="00351DD4">
        <w:rPr>
          <w:rFonts w:eastAsia="Calibri" w:cs="Calibri"/>
          <w:szCs w:val="22"/>
        </w:rPr>
        <w:t xml:space="preserve"> students)</w:t>
      </w:r>
    </w:p>
    <w:p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Placement students away from the university (</w:t>
      </w:r>
      <w:r>
        <w:rPr>
          <w:rFonts w:cs="Calibri"/>
          <w:color w:val="000000"/>
          <w:szCs w:val="20"/>
        </w:rPr>
        <w:t>501</w:t>
      </w:r>
      <w:r w:rsidRPr="00351DD4">
        <w:rPr>
          <w:rFonts w:eastAsia="Calibri" w:cs="Calibri"/>
          <w:szCs w:val="22"/>
        </w:rPr>
        <w:t xml:space="preserve"> students)</w:t>
      </w:r>
    </w:p>
    <w:p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Students living at home or outside of Oxford (</w:t>
      </w:r>
      <w:r>
        <w:rPr>
          <w:rFonts w:cs="Calibri"/>
          <w:color w:val="000000"/>
          <w:szCs w:val="20"/>
        </w:rPr>
        <w:t>2,745</w:t>
      </w:r>
      <w:r w:rsidRPr="00351DD4">
        <w:rPr>
          <w:rFonts w:eastAsia="Calibri" w:cs="Calibri"/>
          <w:szCs w:val="22"/>
        </w:rPr>
        <w:t xml:space="preserve"> students)</w:t>
      </w:r>
    </w:p>
    <w:p w:rsidR="00126779" w:rsidRPr="00351DD4" w:rsidRDefault="00126779" w:rsidP="00126779">
      <w:pPr>
        <w:autoSpaceDE w:val="0"/>
        <w:autoSpaceDN w:val="0"/>
        <w:adjustRightInd w:val="0"/>
        <w:spacing w:line="276" w:lineRule="auto"/>
        <w:ind w:left="851" w:right="-45"/>
        <w:contextualSpacing/>
        <w:jc w:val="both"/>
        <w:rPr>
          <w:rFonts w:eastAsia="Calibri" w:cs="Calibri"/>
          <w:sz w:val="20"/>
          <w:szCs w:val="22"/>
        </w:rPr>
      </w:pPr>
    </w:p>
    <w:p w:rsidR="00126779" w:rsidRPr="00351DD4" w:rsidRDefault="00126779" w:rsidP="00126779">
      <w:pPr>
        <w:numPr>
          <w:ilvl w:val="1"/>
          <w:numId w:val="8"/>
        </w:numPr>
        <w:autoSpaceDE w:val="0"/>
        <w:autoSpaceDN w:val="0"/>
        <w:adjustRightInd w:val="0"/>
        <w:spacing w:after="120" w:line="276" w:lineRule="auto"/>
        <w:ind w:left="567" w:right="-45" w:hanging="567"/>
        <w:jc w:val="both"/>
        <w:rPr>
          <w:rFonts w:eastAsia="Calibri" w:cs="Times New Roman"/>
          <w:szCs w:val="22"/>
        </w:rPr>
      </w:pPr>
      <w:r w:rsidRPr="00351DD4">
        <w:rPr>
          <w:rFonts w:eastAsia="Calibri" w:cs="Times New Roman"/>
          <w:szCs w:val="22"/>
        </w:rPr>
        <w:t xml:space="preserve">Taking into account these exclusions, there were </w:t>
      </w:r>
      <w:r>
        <w:rPr>
          <w:rFonts w:cs="Calibri"/>
          <w:color w:val="000000"/>
          <w:szCs w:val="20"/>
        </w:rPr>
        <w:t>9,494</w:t>
      </w:r>
      <w:r w:rsidRPr="00351DD4">
        <w:rPr>
          <w:rFonts w:eastAsia="Calibri" w:cs="Times New Roman"/>
          <w:szCs w:val="22"/>
        </w:rPr>
        <w:t xml:space="preserve"> full-time Oxford Brookes University students with accommodation </w:t>
      </w:r>
      <w:r>
        <w:rPr>
          <w:rFonts w:eastAsia="Calibri" w:cs="Times New Roman"/>
          <w:szCs w:val="22"/>
        </w:rPr>
        <w:t>requirements. At 1 December 2017</w:t>
      </w:r>
      <w:r w:rsidRPr="00351DD4">
        <w:rPr>
          <w:rFonts w:eastAsia="Calibri" w:cs="Times New Roman"/>
          <w:szCs w:val="22"/>
        </w:rPr>
        <w:t xml:space="preserve"> there were </w:t>
      </w:r>
      <w:r>
        <w:rPr>
          <w:rFonts w:cs="Calibri"/>
          <w:color w:val="000000"/>
          <w:szCs w:val="20"/>
        </w:rPr>
        <w:t>5,405</w:t>
      </w:r>
      <w:r w:rsidRPr="00351DD4">
        <w:rPr>
          <w:rFonts w:eastAsia="Calibri" w:cs="Times New Roman"/>
          <w:szCs w:val="22"/>
        </w:rPr>
        <w:t xml:space="preserve"> </w:t>
      </w:r>
      <w:r w:rsidRPr="00351DD4">
        <w:rPr>
          <w:rFonts w:eastAsia="Calibri" w:cs="Times New Roman"/>
          <w:szCs w:val="22"/>
        </w:rPr>
        <w:lastRenderedPageBreak/>
        <w:t xml:space="preserve">accommodation places provided by Oxford Brookes University. This leaves a total of </w:t>
      </w:r>
      <w:r>
        <w:rPr>
          <w:rFonts w:cs="Calibri"/>
          <w:color w:val="000000"/>
          <w:szCs w:val="20"/>
        </w:rPr>
        <w:t>4,089</w:t>
      </w:r>
      <w:r w:rsidRPr="00351DD4">
        <w:rPr>
          <w:rFonts w:eastAsia="Calibri" w:cs="Times New Roman"/>
          <w:szCs w:val="22"/>
        </w:rPr>
        <w:t xml:space="preserve"> students without a place in university provided accommodation living in Oxford, exceeding the Core Strategy target (Figure 7). </w:t>
      </w:r>
    </w:p>
    <w:p w:rsidR="00126779" w:rsidRPr="00351DD4" w:rsidRDefault="00126779" w:rsidP="00126779">
      <w:pPr>
        <w:tabs>
          <w:tab w:val="left" w:pos="0"/>
        </w:tabs>
        <w:autoSpaceDE w:val="0"/>
        <w:autoSpaceDN w:val="0"/>
        <w:adjustRightInd w:val="0"/>
        <w:ind w:right="-45"/>
        <w:jc w:val="center"/>
        <w:rPr>
          <w:rFonts w:eastAsia="Calibri" w:cs="Calibri"/>
          <w:color w:val="000000"/>
          <w:sz w:val="20"/>
          <w:szCs w:val="22"/>
        </w:rPr>
      </w:pPr>
      <w:r w:rsidRPr="00351DD4">
        <w:rPr>
          <w:noProof/>
          <w:lang w:eastAsia="en-GB"/>
        </w:rPr>
        <mc:AlternateContent>
          <mc:Choice Requires="wps">
            <w:drawing>
              <wp:anchor distT="0" distB="0" distL="114300" distR="114300" simplePos="0" relativeHeight="251682816" behindDoc="0" locked="0" layoutInCell="1" allowOverlap="1" wp14:anchorId="2D7E4279" wp14:editId="5FC8FA11">
                <wp:simplePos x="0" y="0"/>
                <wp:positionH relativeFrom="column">
                  <wp:posOffset>838200</wp:posOffset>
                </wp:positionH>
                <wp:positionV relativeFrom="paragraph">
                  <wp:posOffset>964565</wp:posOffset>
                </wp:positionV>
                <wp:extent cx="4766945" cy="4445"/>
                <wp:effectExtent l="0" t="19050" r="14605" b="33655"/>
                <wp:wrapNone/>
                <wp:docPr id="13" name="Straight Connector 1"/>
                <wp:cNvGraphicFramePr/>
                <a:graphic xmlns:a="http://schemas.openxmlformats.org/drawingml/2006/main">
                  <a:graphicData uri="http://schemas.microsoft.com/office/word/2010/wordprocessingShape">
                    <wps:wsp>
                      <wps:cNvCnPr/>
                      <wps:spPr>
                        <a:xfrm>
                          <a:off x="0" y="0"/>
                          <a:ext cx="4766945" cy="4445"/>
                        </a:xfrm>
                        <a:prstGeom prst="line">
                          <a:avLst/>
                        </a:prstGeom>
                        <a:noFill/>
                        <a:ln w="28575" cap="flat" cmpd="sng" algn="ctr">
                          <a:solidFill>
                            <a:srgbClr val="F79646">
                              <a:lumMod val="50000"/>
                            </a:srgbClr>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72BC30" id="Straight Connector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6pt,75.95pt" to="441.3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" strokecolor="#984807" strokeweight="2.25pt"/>
            </w:pict>
          </mc:Fallback>
        </mc:AlternateContent>
      </w:r>
      <w:r>
        <w:rPr>
          <w:noProof/>
          <w:lang w:eastAsia="en-GB"/>
        </w:rPr>
        <w:drawing>
          <wp:inline distT="0" distB="0" distL="0" distR="0" wp14:anchorId="3C2E3D69" wp14:editId="54F6B9D0">
            <wp:extent cx="5731510" cy="3204992"/>
            <wp:effectExtent l="0" t="0" r="21590" b="14605"/>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51DD4">
        <w:rPr>
          <w:rFonts w:eastAsia="Calibri" w:cs="Calibri"/>
          <w:b/>
          <w:color w:val="000000"/>
          <w:sz w:val="20"/>
          <w:szCs w:val="22"/>
        </w:rPr>
        <w:t xml:space="preserve">Figure 7: </w:t>
      </w:r>
      <w:r w:rsidRPr="00351DD4">
        <w:rPr>
          <w:rFonts w:eastAsia="Calibri" w:cs="Calibri"/>
          <w:color w:val="000000"/>
          <w:sz w:val="20"/>
          <w:szCs w:val="22"/>
        </w:rPr>
        <w:t>Oxford Brookes students living outside of university</w:t>
      </w:r>
      <w:r w:rsidRPr="00351DD4">
        <w:rPr>
          <w:rFonts w:eastAsia="Calibri" w:cs="Times New Roman"/>
          <w:szCs w:val="22"/>
        </w:rPr>
        <w:t xml:space="preserve"> </w:t>
      </w:r>
      <w:r w:rsidRPr="00351DD4">
        <w:rPr>
          <w:rFonts w:eastAsia="Calibri" w:cs="Calibri"/>
          <w:color w:val="000000"/>
          <w:sz w:val="20"/>
          <w:szCs w:val="22"/>
        </w:rPr>
        <w:t xml:space="preserve">provided </w:t>
      </w:r>
    </w:p>
    <w:p w:rsidR="00126779" w:rsidRPr="00351DD4" w:rsidRDefault="00126779" w:rsidP="00126779">
      <w:pPr>
        <w:autoSpaceDE w:val="0"/>
        <w:autoSpaceDN w:val="0"/>
        <w:adjustRightInd w:val="0"/>
        <w:spacing w:after="120" w:line="276" w:lineRule="auto"/>
        <w:ind w:left="567" w:right="-45"/>
        <w:jc w:val="center"/>
        <w:rPr>
          <w:rFonts w:eastAsia="Calibri" w:cs="Times New Roman"/>
          <w:szCs w:val="22"/>
        </w:rPr>
      </w:pPr>
      <w:proofErr w:type="gramStart"/>
      <w:r w:rsidRPr="00351DD4">
        <w:rPr>
          <w:rFonts w:eastAsia="Calibri" w:cs="Calibri"/>
          <w:color w:val="000000"/>
          <w:sz w:val="20"/>
          <w:szCs w:val="22"/>
        </w:rPr>
        <w:t>accommodation</w:t>
      </w:r>
      <w:proofErr w:type="gramEnd"/>
      <w:r w:rsidRPr="00351DD4">
        <w:rPr>
          <w:rFonts w:eastAsia="Calibri" w:cs="Calibri"/>
          <w:color w:val="000000"/>
          <w:sz w:val="20"/>
          <w:szCs w:val="22"/>
        </w:rPr>
        <w:t xml:space="preserve"> 2010/11 – 201</w:t>
      </w:r>
      <w:r>
        <w:rPr>
          <w:rFonts w:eastAsia="Calibri" w:cs="Calibri"/>
          <w:color w:val="000000"/>
          <w:sz w:val="20"/>
          <w:szCs w:val="22"/>
        </w:rPr>
        <w:t>7/18</w:t>
      </w:r>
    </w:p>
    <w:p w:rsidR="00126779" w:rsidRPr="00545BF5" w:rsidRDefault="00126779" w:rsidP="00126779">
      <w:pPr>
        <w:numPr>
          <w:ilvl w:val="1"/>
          <w:numId w:val="8"/>
        </w:numPr>
        <w:autoSpaceDE w:val="0"/>
        <w:autoSpaceDN w:val="0"/>
        <w:adjustRightInd w:val="0"/>
        <w:spacing w:after="200" w:line="276" w:lineRule="auto"/>
        <w:ind w:left="567" w:right="-45" w:hanging="567"/>
        <w:jc w:val="both"/>
      </w:pPr>
      <w:r w:rsidRPr="00351DD4">
        <w:rPr>
          <w:rFonts w:eastAsia="Calibri" w:cs="Times New Roman"/>
          <w:szCs w:val="22"/>
        </w:rPr>
        <w:t xml:space="preserve">When compared to the previous monitoring year, there were an additional </w:t>
      </w:r>
      <w:r>
        <w:rPr>
          <w:rFonts w:cs="Calibri"/>
          <w:color w:val="000000"/>
          <w:szCs w:val="20"/>
        </w:rPr>
        <w:t>1,253</w:t>
      </w:r>
      <w:r w:rsidRPr="00351DD4">
        <w:rPr>
          <w:rFonts w:eastAsia="Calibri" w:cs="Times New Roman"/>
          <w:szCs w:val="22"/>
        </w:rPr>
        <w:t xml:space="preserve"> Oxford Brookes students living outside of university provided a</w:t>
      </w:r>
      <w:r>
        <w:rPr>
          <w:rFonts w:eastAsia="Calibri" w:cs="Times New Roman"/>
          <w:szCs w:val="22"/>
        </w:rPr>
        <w:t>ccommodation in the city in 2017/18</w:t>
      </w:r>
      <w:r w:rsidRPr="00545BF5">
        <w:rPr>
          <w:rFonts w:eastAsia="Calibri" w:cs="Times New Roman"/>
          <w:szCs w:val="22"/>
        </w:rPr>
        <w:t xml:space="preserve">. A more detailed breakdown of Oxford Brookes University’s student numbers is provided in Table 18.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668"/>
        <w:gridCol w:w="2126"/>
        <w:gridCol w:w="2551"/>
        <w:gridCol w:w="2897"/>
      </w:tblGrid>
      <w:tr w:rsidR="00126779" w:rsidRPr="00351DD4" w:rsidTr="00126779">
        <w:tc>
          <w:tcPr>
            <w:tcW w:w="1668" w:type="dxa"/>
            <w:shd w:val="clear" w:color="auto" w:fill="FBD4B4" w:themeFill="accent6" w:themeFillTint="66"/>
          </w:tcPr>
          <w:p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Monitoring year</w:t>
            </w:r>
          </w:p>
        </w:tc>
        <w:tc>
          <w:tcPr>
            <w:tcW w:w="2126" w:type="dxa"/>
            <w:shd w:val="clear" w:color="auto" w:fill="FBD4B4" w:themeFill="accent6" w:themeFillTint="66"/>
          </w:tcPr>
          <w:p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Total Number of Students</w:t>
            </w:r>
          </w:p>
        </w:tc>
        <w:tc>
          <w:tcPr>
            <w:tcW w:w="2551" w:type="dxa"/>
            <w:shd w:val="clear" w:color="auto" w:fill="FBD4B4" w:themeFill="accent6" w:themeFillTint="66"/>
          </w:tcPr>
          <w:p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Students needing accommodation in Oxford</w:t>
            </w:r>
          </w:p>
        </w:tc>
        <w:tc>
          <w:tcPr>
            <w:tcW w:w="2897" w:type="dxa"/>
            <w:shd w:val="clear" w:color="auto" w:fill="FBD4B4" w:themeFill="accent6" w:themeFillTint="66"/>
          </w:tcPr>
          <w:p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Units of University provided student accommodation</w:t>
            </w:r>
          </w:p>
        </w:tc>
      </w:tr>
      <w:tr w:rsidR="00126779" w:rsidRPr="00351DD4" w:rsidTr="00126779">
        <w:tc>
          <w:tcPr>
            <w:tcW w:w="1668"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2011/12</w:t>
            </w:r>
          </w:p>
        </w:tc>
        <w:tc>
          <w:tcPr>
            <w:tcW w:w="2126"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17,811</w:t>
            </w:r>
          </w:p>
        </w:tc>
        <w:tc>
          <w:tcPr>
            <w:tcW w:w="2551"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8,032</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4,651</w:t>
            </w:r>
          </w:p>
        </w:tc>
      </w:tr>
      <w:tr w:rsidR="00126779" w:rsidRPr="00351DD4" w:rsidTr="00126779">
        <w:tc>
          <w:tcPr>
            <w:tcW w:w="1668"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2012/13</w:t>
            </w:r>
          </w:p>
        </w:tc>
        <w:tc>
          <w:tcPr>
            <w:tcW w:w="2126"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17,115</w:t>
            </w:r>
          </w:p>
        </w:tc>
        <w:tc>
          <w:tcPr>
            <w:tcW w:w="2551"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7,909</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5,073</w:t>
            </w:r>
          </w:p>
        </w:tc>
      </w:tr>
      <w:tr w:rsidR="00126779" w:rsidRPr="00351DD4" w:rsidTr="00126779">
        <w:tc>
          <w:tcPr>
            <w:tcW w:w="1668"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2013/14</w:t>
            </w:r>
          </w:p>
        </w:tc>
        <w:tc>
          <w:tcPr>
            <w:tcW w:w="2126"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17,053</w:t>
            </w:r>
          </w:p>
        </w:tc>
        <w:tc>
          <w:tcPr>
            <w:tcW w:w="2551"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8,319</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5,247</w:t>
            </w:r>
          </w:p>
        </w:tc>
      </w:tr>
      <w:tr w:rsidR="00126779" w:rsidRPr="00351DD4" w:rsidTr="00126779">
        <w:tc>
          <w:tcPr>
            <w:tcW w:w="1668"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2014/15</w:t>
            </w:r>
          </w:p>
        </w:tc>
        <w:tc>
          <w:tcPr>
            <w:tcW w:w="2126"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16,553</w:t>
            </w:r>
          </w:p>
        </w:tc>
        <w:tc>
          <w:tcPr>
            <w:tcW w:w="2551"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8,489</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5,038</w:t>
            </w:r>
          </w:p>
        </w:tc>
      </w:tr>
      <w:tr w:rsidR="00126779" w:rsidRPr="00351DD4" w:rsidTr="00126779">
        <w:tc>
          <w:tcPr>
            <w:tcW w:w="1668"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2015/16</w:t>
            </w:r>
          </w:p>
        </w:tc>
        <w:tc>
          <w:tcPr>
            <w:tcW w:w="2126"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17,149</w:t>
            </w:r>
          </w:p>
        </w:tc>
        <w:tc>
          <w:tcPr>
            <w:tcW w:w="2551"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8,954</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5,207</w:t>
            </w:r>
          </w:p>
        </w:tc>
      </w:tr>
      <w:tr w:rsidR="00126779" w:rsidRPr="00351DD4" w:rsidTr="00126779">
        <w:tc>
          <w:tcPr>
            <w:tcW w:w="1668"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2016/17</w:t>
            </w:r>
          </w:p>
        </w:tc>
        <w:tc>
          <w:tcPr>
            <w:tcW w:w="2126"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17,069</w:t>
            </w:r>
          </w:p>
        </w:tc>
        <w:tc>
          <w:tcPr>
            <w:tcW w:w="2551"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9,504</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5,324</w:t>
            </w:r>
          </w:p>
        </w:tc>
      </w:tr>
      <w:tr w:rsidR="00126779" w:rsidRPr="00351DD4" w:rsidTr="00126779">
        <w:tc>
          <w:tcPr>
            <w:tcW w:w="1668"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2017/18</w:t>
            </w:r>
          </w:p>
        </w:tc>
        <w:tc>
          <w:tcPr>
            <w:tcW w:w="2126"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16,988</w:t>
            </w:r>
          </w:p>
        </w:tc>
        <w:tc>
          <w:tcPr>
            <w:tcW w:w="2551"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9,494</w:t>
            </w:r>
          </w:p>
        </w:tc>
        <w:tc>
          <w:tcPr>
            <w:tcW w:w="2897" w:type="dxa"/>
            <w:shd w:val="clear" w:color="auto" w:fill="auto"/>
          </w:tcPr>
          <w:p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5,405</w:t>
            </w:r>
          </w:p>
        </w:tc>
      </w:tr>
    </w:tbl>
    <w:p w:rsidR="00126779" w:rsidRPr="00351DD4" w:rsidRDefault="00126779" w:rsidP="00126779">
      <w:pPr>
        <w:tabs>
          <w:tab w:val="left" w:pos="0"/>
        </w:tabs>
        <w:autoSpaceDE w:val="0"/>
        <w:autoSpaceDN w:val="0"/>
        <w:adjustRightInd w:val="0"/>
        <w:ind w:right="-45"/>
        <w:jc w:val="center"/>
        <w:rPr>
          <w:rFonts w:eastAsia="Calibri" w:cs="Calibri"/>
          <w:color w:val="000000"/>
          <w:sz w:val="20"/>
          <w:szCs w:val="22"/>
        </w:rPr>
      </w:pPr>
      <w:r w:rsidRPr="00351DD4">
        <w:rPr>
          <w:rFonts w:eastAsia="Calibri" w:cs="Calibri"/>
          <w:b/>
          <w:color w:val="000000"/>
          <w:sz w:val="20"/>
          <w:szCs w:val="22"/>
        </w:rPr>
        <w:t xml:space="preserve">Table 18: </w:t>
      </w:r>
      <w:r w:rsidRPr="00351DD4">
        <w:rPr>
          <w:rFonts w:eastAsia="Calibri" w:cs="Calibri"/>
          <w:color w:val="000000"/>
          <w:sz w:val="20"/>
          <w:szCs w:val="22"/>
        </w:rPr>
        <w:t>Oxford Brookes University’s student numbers 2011/12 – 2016/17</w:t>
      </w:r>
    </w:p>
    <w:p w:rsidR="00126779" w:rsidRPr="00351DD4" w:rsidRDefault="00126779" w:rsidP="00126779">
      <w:pPr>
        <w:tabs>
          <w:tab w:val="left" w:pos="0"/>
        </w:tabs>
        <w:autoSpaceDE w:val="0"/>
        <w:autoSpaceDN w:val="0"/>
        <w:adjustRightInd w:val="0"/>
        <w:ind w:right="-45"/>
        <w:jc w:val="center"/>
        <w:rPr>
          <w:rFonts w:eastAsia="Calibri" w:cs="Times New Roman"/>
          <w:szCs w:val="22"/>
        </w:rPr>
      </w:pPr>
    </w:p>
    <w:p w:rsidR="00126779" w:rsidRPr="00351DD4" w:rsidRDefault="00126779" w:rsidP="00126779">
      <w:pPr>
        <w:numPr>
          <w:ilvl w:val="1"/>
          <w:numId w:val="8"/>
        </w:numPr>
        <w:autoSpaceDE w:val="0"/>
        <w:autoSpaceDN w:val="0"/>
        <w:adjustRightInd w:val="0"/>
        <w:spacing w:line="276" w:lineRule="auto"/>
        <w:ind w:left="567" w:right="-45" w:hanging="567"/>
        <w:jc w:val="both"/>
      </w:pPr>
      <w:r w:rsidRPr="00351DD4">
        <w:t xml:space="preserve">Oxford Brookes University has commented that recent trends in students living outside of university provided accommodation in Oxford are a result of an increasingly volatile higher education market and changes in student behaviour since the introduction of the £9,000 undergraduate fee in 2012. </w:t>
      </w:r>
    </w:p>
    <w:p w:rsidR="00126779" w:rsidRPr="00351DD4" w:rsidRDefault="00126779" w:rsidP="00126779">
      <w:pPr>
        <w:autoSpaceDE w:val="0"/>
        <w:autoSpaceDN w:val="0"/>
        <w:adjustRightInd w:val="0"/>
        <w:spacing w:line="276" w:lineRule="auto"/>
        <w:ind w:left="567" w:right="-45"/>
        <w:jc w:val="both"/>
      </w:pPr>
    </w:p>
    <w:p w:rsidR="00126779" w:rsidRPr="00351DD4" w:rsidRDefault="00126779" w:rsidP="00126779">
      <w:pPr>
        <w:numPr>
          <w:ilvl w:val="1"/>
          <w:numId w:val="8"/>
        </w:numPr>
        <w:autoSpaceDE w:val="0"/>
        <w:autoSpaceDN w:val="0"/>
        <w:adjustRightInd w:val="0"/>
        <w:spacing w:line="276" w:lineRule="auto"/>
        <w:ind w:left="567" w:right="-45" w:hanging="567"/>
        <w:jc w:val="both"/>
      </w:pPr>
      <w:r w:rsidRPr="00351DD4">
        <w:t xml:space="preserve">Oxford Brookes University is now seeing a trend, with different patterns of demand for student accommodation since 2012. Oxford Brookes has identified that the proportion of students who decide to live in Oxford has increased from around 64% in 2010 to well over 70% in 2016, meaning that their residential halls (including university owned and those under nomination </w:t>
      </w:r>
      <w:r w:rsidRPr="00351DD4">
        <w:lastRenderedPageBreak/>
        <w:t>agreements) cannot meet this increased demand. The University has identified the following underlying trends which explain this shift in demand:</w:t>
      </w:r>
    </w:p>
    <w:p w:rsidR="00126779" w:rsidRPr="00351DD4" w:rsidRDefault="00126779" w:rsidP="00126779">
      <w:pPr>
        <w:autoSpaceDE w:val="0"/>
        <w:autoSpaceDN w:val="0"/>
        <w:adjustRightInd w:val="0"/>
        <w:spacing w:after="240" w:line="276" w:lineRule="auto"/>
        <w:ind w:left="993" w:right="-45" w:hanging="284"/>
        <w:contextualSpacing/>
        <w:jc w:val="both"/>
      </w:pPr>
      <w:r w:rsidRPr="00351DD4">
        <w:t>•   A decline in postgraduate students (who are more likely to live at home and, if they do live in university-provided accommodation, they often require the accommodation for shorter periods);</w:t>
      </w:r>
    </w:p>
    <w:p w:rsidR="00126779" w:rsidRPr="00351DD4" w:rsidRDefault="00126779" w:rsidP="00126779">
      <w:pPr>
        <w:autoSpaceDE w:val="0"/>
        <w:autoSpaceDN w:val="0"/>
        <w:adjustRightInd w:val="0"/>
        <w:spacing w:line="276" w:lineRule="auto"/>
        <w:ind w:left="709" w:right="-45"/>
        <w:jc w:val="both"/>
      </w:pPr>
      <w:r w:rsidRPr="00351DD4">
        <w:t xml:space="preserve">•    An increase in undergraduate students (who are less likely to live at home); </w:t>
      </w:r>
    </w:p>
    <w:p w:rsidR="00126779" w:rsidRPr="00351DD4" w:rsidRDefault="00126779" w:rsidP="00126779">
      <w:pPr>
        <w:numPr>
          <w:ilvl w:val="0"/>
          <w:numId w:val="40"/>
        </w:numPr>
        <w:autoSpaceDE w:val="0"/>
        <w:autoSpaceDN w:val="0"/>
        <w:adjustRightInd w:val="0"/>
        <w:spacing w:line="276" w:lineRule="auto"/>
        <w:ind w:left="993" w:right="-45" w:hanging="284"/>
        <w:jc w:val="both"/>
      </w:pPr>
      <w:r w:rsidRPr="00351DD4">
        <w:t>A decline in part-time students (with this shortfall being replaced with more full-time students); and</w:t>
      </w:r>
    </w:p>
    <w:p w:rsidR="00126779" w:rsidRPr="00351DD4" w:rsidRDefault="00126779" w:rsidP="00126779">
      <w:pPr>
        <w:autoSpaceDE w:val="0"/>
        <w:autoSpaceDN w:val="0"/>
        <w:adjustRightInd w:val="0"/>
        <w:spacing w:after="240" w:line="276" w:lineRule="auto"/>
        <w:ind w:left="993" w:right="-45" w:hanging="284"/>
        <w:contextualSpacing/>
        <w:jc w:val="both"/>
      </w:pPr>
      <w:r w:rsidRPr="00351DD4">
        <w:t>•</w:t>
      </w:r>
      <w:r w:rsidRPr="00351DD4">
        <w:tab/>
        <w:t>A decline in the proportion of students recruited from Oxfordshire (with a higher propensity to live at home).</w:t>
      </w:r>
    </w:p>
    <w:p w:rsidR="00126779" w:rsidRPr="00351DD4" w:rsidRDefault="00126779" w:rsidP="00126779">
      <w:pPr>
        <w:autoSpaceDE w:val="0"/>
        <w:autoSpaceDN w:val="0"/>
        <w:adjustRightInd w:val="0"/>
        <w:spacing w:after="240" w:line="276" w:lineRule="auto"/>
        <w:ind w:left="993" w:right="-45" w:hanging="284"/>
        <w:contextualSpacing/>
        <w:jc w:val="both"/>
      </w:pPr>
    </w:p>
    <w:p w:rsidR="00126779" w:rsidRPr="00351DD4" w:rsidRDefault="00126779" w:rsidP="00126779">
      <w:pPr>
        <w:numPr>
          <w:ilvl w:val="1"/>
          <w:numId w:val="8"/>
        </w:numPr>
        <w:autoSpaceDE w:val="0"/>
        <w:autoSpaceDN w:val="0"/>
        <w:adjustRightInd w:val="0"/>
        <w:spacing w:line="276" w:lineRule="auto"/>
        <w:ind w:left="567" w:right="-45" w:hanging="567"/>
        <w:jc w:val="both"/>
      </w:pPr>
      <w:r w:rsidRPr="00351DD4">
        <w:t xml:space="preserve">It is anticipated that these trends are set to continue. Oxford Brookes University is therefore currently working on a fully revised student accommodation strategy, taking into account these fundamental shifts in the makeup of the student body and the consequential impact on the accommodation the University needs to provide to ensure it can meet the 3,000 target.  It will take time for additional student accommodation to be planned and built out. </w:t>
      </w:r>
      <w:r>
        <w:t>In 2017/18 an additional 245</w:t>
      </w:r>
      <w:r w:rsidRPr="00535E72">
        <w:t xml:space="preserve"> student rooms</w:t>
      </w:r>
      <w:r>
        <w:t xml:space="preserve"> for Oxford Brookes</w:t>
      </w:r>
      <w:r w:rsidRPr="00535E72">
        <w:t xml:space="preserve"> </w:t>
      </w:r>
      <w:r>
        <w:t>(167 at</w:t>
      </w:r>
      <w:r w:rsidRPr="00535E72">
        <w:t xml:space="preserve"> Beech House on London Road/Latimer Road and </w:t>
      </w:r>
      <w:r>
        <w:t>7</w:t>
      </w:r>
      <w:r w:rsidRPr="00535E72">
        <w:t xml:space="preserve">8 student rooms at Canterbury House, </w:t>
      </w:r>
      <w:proofErr w:type="spellStart"/>
      <w:r w:rsidRPr="00535E72">
        <w:t>Cowley</w:t>
      </w:r>
      <w:proofErr w:type="spellEnd"/>
      <w:r w:rsidRPr="00535E72">
        <w:t xml:space="preserve"> Road</w:t>
      </w:r>
      <w:r>
        <w:t xml:space="preserve">) were constructed. </w:t>
      </w:r>
    </w:p>
    <w:p w:rsidR="00126779" w:rsidRPr="00351DD4" w:rsidRDefault="00126779" w:rsidP="00126779">
      <w:pPr>
        <w:autoSpaceDE w:val="0"/>
        <w:autoSpaceDN w:val="0"/>
        <w:adjustRightInd w:val="0"/>
        <w:spacing w:line="276" w:lineRule="auto"/>
        <w:ind w:left="567" w:right="-45"/>
        <w:jc w:val="both"/>
      </w:pPr>
    </w:p>
    <w:p w:rsidR="00126779" w:rsidRPr="00351DD4" w:rsidRDefault="00126779" w:rsidP="00126779">
      <w:pPr>
        <w:numPr>
          <w:ilvl w:val="1"/>
          <w:numId w:val="8"/>
        </w:numPr>
        <w:autoSpaceDE w:val="0"/>
        <w:autoSpaceDN w:val="0"/>
        <w:adjustRightInd w:val="0"/>
        <w:spacing w:line="276" w:lineRule="auto"/>
        <w:ind w:left="567" w:right="-45" w:hanging="567"/>
        <w:jc w:val="both"/>
      </w:pPr>
      <w:r w:rsidRPr="00351DD4">
        <w:rPr>
          <w:rFonts w:eastAsia="Calibri" w:cs="Calibri"/>
          <w:szCs w:val="22"/>
        </w:rPr>
        <w:t xml:space="preserve">The approach set out in Core Strategy Policy CS25 will be a key consideration in determining any planning applications submitted by Oxford Brookes University. Core Strategy Policy CS25 and its supporting text is clear that planning permission will only be granted for additional academic/administrative accommodation (including redeveloped academic </w:t>
      </w:r>
      <w:proofErr w:type="spellStart"/>
      <w:r w:rsidRPr="00351DD4">
        <w:rPr>
          <w:rFonts w:eastAsia="Calibri" w:cs="Calibri"/>
          <w:szCs w:val="22"/>
        </w:rPr>
        <w:t>floorspace</w:t>
      </w:r>
      <w:proofErr w:type="spellEnd"/>
      <w:r w:rsidRPr="00351DD4">
        <w:rPr>
          <w:rFonts w:eastAsia="Calibri" w:cs="Calibri"/>
          <w:szCs w:val="22"/>
        </w:rPr>
        <w:t xml:space="preserve">) for use by Oxford Brookes and the University of Oxford where it can be demonstrated that the number of students living outside </w:t>
      </w:r>
      <w:r w:rsidRPr="00207CDB">
        <w:rPr>
          <w:rFonts w:eastAsia="Calibri" w:cs="Calibri"/>
          <w:szCs w:val="22"/>
        </w:rPr>
        <w:t xml:space="preserve">of university provided accommodation is less than 3,000 students for that institution. </w:t>
      </w:r>
      <w:r w:rsidRPr="00207CDB">
        <w:rPr>
          <w:rFonts w:eastAsia="Calibri"/>
          <w:szCs w:val="22"/>
        </w:rPr>
        <w:t xml:space="preserve">No planning applications for new or redeveloped academic </w:t>
      </w:r>
      <w:proofErr w:type="spellStart"/>
      <w:r w:rsidRPr="00207CDB">
        <w:rPr>
          <w:rFonts w:eastAsia="Calibri"/>
          <w:szCs w:val="22"/>
        </w:rPr>
        <w:t>floorspace</w:t>
      </w:r>
      <w:proofErr w:type="spellEnd"/>
      <w:r w:rsidRPr="00207CDB">
        <w:rPr>
          <w:rFonts w:eastAsia="Calibri"/>
          <w:szCs w:val="22"/>
        </w:rPr>
        <w:t xml:space="preserve"> were received from Oxford Brookes University during the 201</w:t>
      </w:r>
      <w:r w:rsidR="00207CDB" w:rsidRPr="00207CDB">
        <w:rPr>
          <w:rFonts w:eastAsia="Calibri"/>
          <w:szCs w:val="22"/>
        </w:rPr>
        <w:t>7/18</w:t>
      </w:r>
      <w:r w:rsidRPr="00207CDB">
        <w:rPr>
          <w:rFonts w:eastAsia="Calibri"/>
          <w:szCs w:val="22"/>
        </w:rPr>
        <w:t xml:space="preserve"> monitoring year (Indicator 3).</w:t>
      </w:r>
    </w:p>
    <w:p w:rsidR="00126779" w:rsidRPr="00351DD4" w:rsidRDefault="00126779" w:rsidP="00126779">
      <w:pPr>
        <w:ind w:left="720"/>
        <w:contextualSpacing/>
      </w:pPr>
    </w:p>
    <w:p w:rsidR="00126779" w:rsidRPr="00351DD4" w:rsidRDefault="00126779" w:rsidP="00126779">
      <w:pPr>
        <w:numPr>
          <w:ilvl w:val="1"/>
          <w:numId w:val="8"/>
        </w:numPr>
        <w:autoSpaceDE w:val="0"/>
        <w:autoSpaceDN w:val="0"/>
        <w:adjustRightInd w:val="0"/>
        <w:spacing w:line="276" w:lineRule="auto"/>
        <w:ind w:left="567" w:right="-45" w:hanging="567"/>
        <w:jc w:val="both"/>
      </w:pPr>
      <w:r w:rsidRPr="00351DD4">
        <w:t>These policies are being reviewed as part of the work on the emerging Oxford Local Plan 2036. The City Council, jointly with Cambridge City Council, commissioned an Assessment of Student Housing Demand and Supply, which was undertaken by the Cambridge Centre for Housing and Planning Research. This provides a detailed assessment of student housing demand in Oxford, designed to inform development of policies for the emerging Oxford Local Plan 2036. It includes assessment of a broad range of students, including those at language schools. For the assessment Higher Education Statistics Agency (HESA) data was used as the basis of university student numbers data. The HESA data is a ‘flow’ which records all students of the course of the academic year. For the AMR, the universities publish ‘snapshot’ data for a point in time relevant to the AMR, and this dataset will therefore not match the HESA data.</w:t>
      </w:r>
    </w:p>
    <w:p w:rsidR="00126779" w:rsidRPr="00351DD4" w:rsidRDefault="00126779" w:rsidP="00126779">
      <w:pPr>
        <w:ind w:left="720"/>
        <w:contextualSpacing/>
      </w:pPr>
    </w:p>
    <w:p w:rsidR="00126779" w:rsidRPr="00351DD4" w:rsidRDefault="00126779" w:rsidP="00126779">
      <w:pPr>
        <w:numPr>
          <w:ilvl w:val="1"/>
          <w:numId w:val="8"/>
        </w:numPr>
        <w:autoSpaceDE w:val="0"/>
        <w:autoSpaceDN w:val="0"/>
        <w:adjustRightInd w:val="0"/>
        <w:spacing w:line="276" w:lineRule="auto"/>
        <w:ind w:left="567" w:right="-45" w:hanging="567"/>
        <w:jc w:val="both"/>
      </w:pPr>
      <w:r w:rsidRPr="00351DD4">
        <w:t xml:space="preserve">The preferred approach set out in the Oxford Local Plan 2036 Preferred Options is to continue to link new or redeveloped university academic accommodation to the delivery of associated residential accommodation, supporting institutions to meet their own accommodation needs by demonstrating that they have fewer than a set number of full-time taught degree students </w:t>
      </w:r>
      <w:r w:rsidRPr="00351DD4">
        <w:lastRenderedPageBreak/>
        <w:t>living outside of university provided accommodation (excluding students studying and working on placements such as teaching and nursing students and post-graduates on research based courses). The policy threshold would be set based on existing student numbers (using a 2016 baseline), potentially reducing across the plan period and varying between each university.</w:t>
      </w:r>
    </w:p>
    <w:p w:rsidR="00126779" w:rsidRPr="00351DD4" w:rsidRDefault="00126779" w:rsidP="00126779">
      <w:pPr>
        <w:autoSpaceDE w:val="0"/>
        <w:autoSpaceDN w:val="0"/>
        <w:adjustRightInd w:val="0"/>
        <w:spacing w:line="276" w:lineRule="auto"/>
        <w:ind w:right="-45"/>
        <w:jc w:val="both"/>
        <w:rPr>
          <w:highlight w:val="cyan"/>
        </w:rPr>
      </w:pPr>
    </w:p>
    <w:p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Other purpose built student accommodation</w:t>
      </w:r>
    </w:p>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Calibri"/>
          <w:szCs w:val="22"/>
        </w:rPr>
      </w:pPr>
      <w:r w:rsidRPr="00351DD4">
        <w:t xml:space="preserve">The two Universities are not the only academic institutions that attract students to Oxford. There is an increasing demand to accommodate students from language schools and other academic organisations which also puts pressure on the private rental market. Whilst this is not addressed directly by Policy CS25, it is an important consideration in thinking about Oxford’s housing need. The </w:t>
      </w:r>
      <w:r w:rsidR="00CC3D19">
        <w:t xml:space="preserve">draft submission document of the </w:t>
      </w:r>
      <w:r w:rsidRPr="00351DD4">
        <w:t xml:space="preserve">Oxford Local Plan 2036 </w:t>
      </w:r>
      <w:r w:rsidR="00CC3D19">
        <w:t xml:space="preserve">includes a policy </w:t>
      </w:r>
      <w:r w:rsidRPr="00351DD4">
        <w:t>to restrict the expansion of language schools.</w:t>
      </w:r>
    </w:p>
    <w:bookmarkStart w:id="24" w:name="_Toc529178354"/>
    <w:p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0528" behindDoc="1" locked="0" layoutInCell="1" allowOverlap="1" wp14:anchorId="18434425" wp14:editId="679A0246">
                <wp:simplePos x="0" y="0"/>
                <wp:positionH relativeFrom="column">
                  <wp:posOffset>-161925</wp:posOffset>
                </wp:positionH>
                <wp:positionV relativeFrom="paragraph">
                  <wp:posOffset>6985</wp:posOffset>
                </wp:positionV>
                <wp:extent cx="5885180" cy="1971675"/>
                <wp:effectExtent l="0" t="0" r="1270" b="9525"/>
                <wp:wrapNone/>
                <wp:docPr id="73" name="Rectangle 73"/>
                <wp:cNvGraphicFramePr/>
                <a:graphic xmlns:a="http://schemas.openxmlformats.org/drawingml/2006/main">
                  <a:graphicData uri="http://schemas.microsoft.com/office/word/2010/wordprocessingShape">
                    <wps:wsp>
                      <wps:cNvSpPr/>
                      <wps:spPr>
                        <a:xfrm>
                          <a:off x="0" y="0"/>
                          <a:ext cx="5885180" cy="19716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9B6649" id="Rectangle 73" o:spid="_x0000_s1026" style="position:absolute;margin-left:-12.75pt;margin-top:.55pt;width:463.4pt;height:15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" fillcolor="#fcd5b5" stroked="f" strokeweight="2pt"/>
            </w:pict>
          </mc:Fallback>
        </mc:AlternateContent>
      </w:r>
      <w:r w:rsidRPr="00351DD4">
        <w:rPr>
          <w:rFonts w:asciiTheme="minorHAnsi" w:hAnsiTheme="minorHAnsi"/>
          <w:b/>
          <w:lang w:eastAsia="en-GB"/>
        </w:rPr>
        <w:t>Indicator 18: LOCATION OF NEW STUDENT ACCOMODATION</w:t>
      </w:r>
      <w:bookmarkEnd w:id="24"/>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Target: 95% of sites approved for uses including new student accommodation to be in one of the following locations:</w:t>
      </w:r>
    </w:p>
    <w:p w:rsidR="00126779" w:rsidRPr="00351DD4" w:rsidRDefault="00126779" w:rsidP="00126779">
      <w:pPr>
        <w:numPr>
          <w:ilvl w:val="0"/>
          <w:numId w:val="13"/>
        </w:numPr>
        <w:autoSpaceDE w:val="0"/>
        <w:autoSpaceDN w:val="0"/>
        <w:adjustRightInd w:val="0"/>
        <w:spacing w:line="276" w:lineRule="auto"/>
        <w:ind w:left="709"/>
        <w:contextualSpacing/>
        <w:jc w:val="both"/>
        <w:rPr>
          <w:rFonts w:eastAsia="Calibri" w:cs="Calibri"/>
          <w:b/>
          <w:color w:val="984806" w:themeColor="accent6" w:themeShade="80"/>
          <w:szCs w:val="22"/>
        </w:rPr>
      </w:pPr>
      <w:r w:rsidRPr="00351DD4">
        <w:rPr>
          <w:rFonts w:eastAsia="Calibri" w:cs="Calibri"/>
          <w:b/>
          <w:color w:val="984806" w:themeColor="accent6" w:themeShade="80"/>
          <w:szCs w:val="22"/>
        </w:rPr>
        <w:t>On/adjacent to an existing university or college academic site or hospital and research site</w:t>
      </w:r>
    </w:p>
    <w:p w:rsidR="00126779" w:rsidRPr="00351DD4" w:rsidRDefault="00126779" w:rsidP="00126779">
      <w:pPr>
        <w:numPr>
          <w:ilvl w:val="0"/>
          <w:numId w:val="13"/>
        </w:numPr>
        <w:autoSpaceDE w:val="0"/>
        <w:autoSpaceDN w:val="0"/>
        <w:adjustRightInd w:val="0"/>
        <w:spacing w:line="276" w:lineRule="auto"/>
        <w:ind w:left="709"/>
        <w:contextualSpacing/>
        <w:jc w:val="both"/>
        <w:rPr>
          <w:rFonts w:eastAsia="Calibri" w:cs="Calibri"/>
          <w:b/>
          <w:color w:val="984806" w:themeColor="accent6" w:themeShade="80"/>
          <w:szCs w:val="22"/>
        </w:rPr>
      </w:pPr>
      <w:r w:rsidRPr="00351DD4">
        <w:rPr>
          <w:rFonts w:eastAsia="Calibri" w:cs="Calibri"/>
          <w:b/>
          <w:color w:val="984806" w:themeColor="accent6" w:themeShade="80"/>
          <w:szCs w:val="22"/>
        </w:rPr>
        <w:t>City centre or district centres</w:t>
      </w:r>
    </w:p>
    <w:p w:rsidR="00126779" w:rsidRPr="00351DD4" w:rsidRDefault="00126779" w:rsidP="00126779">
      <w:pPr>
        <w:numPr>
          <w:ilvl w:val="0"/>
          <w:numId w:val="13"/>
        </w:numPr>
        <w:autoSpaceDE w:val="0"/>
        <w:autoSpaceDN w:val="0"/>
        <w:adjustRightInd w:val="0"/>
        <w:spacing w:line="276" w:lineRule="auto"/>
        <w:ind w:left="709"/>
        <w:contextualSpacing/>
        <w:jc w:val="both"/>
        <w:rPr>
          <w:rFonts w:eastAsia="Calibri" w:cs="Calibri"/>
          <w:b/>
          <w:color w:val="984806" w:themeColor="accent6" w:themeShade="80"/>
          <w:szCs w:val="22"/>
        </w:rPr>
      </w:pPr>
      <w:r w:rsidRPr="00351DD4">
        <w:rPr>
          <w:rFonts w:eastAsia="Calibri" w:cs="Calibri"/>
          <w:b/>
          <w:color w:val="984806" w:themeColor="accent6" w:themeShade="80"/>
          <w:szCs w:val="22"/>
        </w:rPr>
        <w:t>Located adjacent to a main thoroughfare</w:t>
      </w:r>
      <w:r w:rsidRPr="00351DD4">
        <w:rPr>
          <w:rFonts w:eastAsia="Calibri" w:cs="Calibri"/>
          <w:color w:val="984806" w:themeColor="accent6" w:themeShade="80"/>
          <w:szCs w:val="22"/>
        </w:rPr>
        <w:tab/>
      </w:r>
      <w:r w:rsidRPr="00351DD4">
        <w:rPr>
          <w:rFonts w:eastAsia="Calibri" w:cs="Calibri"/>
          <w:color w:val="984806" w:themeColor="accent6" w:themeShade="80"/>
          <w:szCs w:val="22"/>
        </w:rPr>
        <w:tab/>
      </w:r>
      <w:r w:rsidRPr="00351DD4">
        <w:rPr>
          <w:rFonts w:eastAsia="Calibri" w:cs="Calibri"/>
          <w:color w:val="984806" w:themeColor="accent6" w:themeShade="80"/>
          <w:sz w:val="20"/>
          <w:szCs w:val="22"/>
        </w:rPr>
        <w:t>(Sites and Housing Plan Policy HP5)</w:t>
      </w:r>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1105"/>
        <w:gridCol w:w="2622"/>
      </w:tblGrid>
      <w:tr w:rsidR="00126779" w:rsidRPr="00351DD4" w:rsidTr="00126779">
        <w:trPr>
          <w:trHeight w:val="178"/>
        </w:trPr>
        <w:tc>
          <w:tcPr>
            <w:tcW w:w="5438" w:type="dxa"/>
          </w:tcPr>
          <w:p w:rsidR="00126779" w:rsidRPr="004C51A4" w:rsidRDefault="00126779" w:rsidP="00126779">
            <w:pPr>
              <w:autoSpaceDE w:val="0"/>
              <w:autoSpaceDN w:val="0"/>
              <w:adjustRightInd w:val="0"/>
              <w:ind w:left="-108"/>
              <w:rPr>
                <w:b/>
                <w:noProof/>
                <w:color w:val="984806" w:themeColor="accent6" w:themeShade="80"/>
                <w:szCs w:val="16"/>
                <w:highlight w:val="yellow"/>
                <w:lang w:eastAsia="en-GB"/>
              </w:rPr>
            </w:pPr>
            <w:r w:rsidRPr="002119E4">
              <w:rPr>
                <w:rFonts w:eastAsia="Calibri" w:cs="Calibri"/>
                <w:b/>
                <w:color w:val="984806" w:themeColor="accent6" w:themeShade="80"/>
              </w:rPr>
              <w:t>Performance against target 2017/18:</w:t>
            </w:r>
          </w:p>
        </w:tc>
        <w:tc>
          <w:tcPr>
            <w:tcW w:w="3727"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rPr>
          <w:trHeight w:val="331"/>
        </w:trPr>
        <w:tc>
          <w:tcPr>
            <w:tcW w:w="5438" w:type="dxa"/>
            <w:vMerge w:val="restart"/>
          </w:tcPr>
          <w:p w:rsidR="00126779" w:rsidRPr="004C51A4" w:rsidRDefault="00126779" w:rsidP="00126779">
            <w:pPr>
              <w:autoSpaceDE w:val="0"/>
              <w:autoSpaceDN w:val="0"/>
              <w:adjustRightInd w:val="0"/>
              <w:jc w:val="center"/>
              <w:rPr>
                <w:rFonts w:eastAsia="Calibri" w:cs="Calibri"/>
                <w:b/>
                <w:color w:val="984806" w:themeColor="accent6" w:themeShade="80"/>
                <w:sz w:val="4"/>
                <w:szCs w:val="6"/>
                <w:highlight w:val="yellow"/>
              </w:rPr>
            </w:pPr>
          </w:p>
          <w:p w:rsidR="00126779" w:rsidRPr="004C51A4" w:rsidRDefault="00126779" w:rsidP="00126779">
            <w:pPr>
              <w:autoSpaceDE w:val="0"/>
              <w:autoSpaceDN w:val="0"/>
              <w:adjustRightInd w:val="0"/>
              <w:jc w:val="center"/>
              <w:rPr>
                <w:rFonts w:eastAsia="Calibri" w:cs="Calibri"/>
                <w:b/>
                <w:color w:val="984806" w:themeColor="accent6" w:themeShade="80"/>
                <w:szCs w:val="8"/>
                <w:highlight w:val="yellow"/>
              </w:rPr>
            </w:pPr>
            <w:r w:rsidRPr="004C51A4">
              <w:rPr>
                <w:b/>
                <w:noProof/>
                <w:color w:val="3F4F21"/>
                <w:sz w:val="32"/>
                <w:szCs w:val="32"/>
                <w:highlight w:val="yellow"/>
                <w:lang w:eastAsia="en-GB"/>
              </w:rPr>
              <w:drawing>
                <wp:inline distT="0" distB="0" distL="0" distR="0" wp14:anchorId="1A563889" wp14:editId="78C391F8">
                  <wp:extent cx="1388853" cy="418201"/>
                  <wp:effectExtent l="0" t="0" r="1905" b="1270"/>
                  <wp:docPr id="249" name="Picture 24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126779" w:rsidRPr="004C51A4" w:rsidRDefault="00126779" w:rsidP="00126779">
            <w:pPr>
              <w:autoSpaceDE w:val="0"/>
              <w:autoSpaceDN w:val="0"/>
              <w:adjustRightInd w:val="0"/>
              <w:jc w:val="center"/>
              <w:rPr>
                <w:rFonts w:eastAsia="Calibri" w:cs="Calibri"/>
                <w:b/>
                <w:color w:val="984806" w:themeColor="accent6" w:themeShade="80"/>
                <w:sz w:val="2"/>
                <w:szCs w:val="12"/>
                <w:highlight w:val="yellow"/>
              </w:rPr>
            </w:pPr>
          </w:p>
        </w:tc>
        <w:tc>
          <w:tcPr>
            <w:tcW w:w="1105"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6</w:t>
            </w:r>
            <w:r w:rsidRPr="00351DD4">
              <w:rPr>
                <w:rFonts w:eastAsia="Calibri" w:cs="Calibri"/>
                <w:b/>
                <w:color w:val="984806" w:themeColor="accent6" w:themeShade="80"/>
              </w:rPr>
              <w:t>/1</w:t>
            </w:r>
            <w:r>
              <w:rPr>
                <w:rFonts w:eastAsia="Calibri" w:cs="Calibri"/>
                <w:b/>
                <w:color w:val="984806" w:themeColor="accent6" w:themeShade="80"/>
              </w:rPr>
              <w:t>7</w:t>
            </w:r>
            <w:r w:rsidRPr="00351DD4">
              <w:rPr>
                <w:rFonts w:eastAsia="Calibri" w:cs="Calibri"/>
                <w:b/>
                <w:color w:val="984806" w:themeColor="accent6" w:themeShade="80"/>
              </w:rPr>
              <w:t>:</w:t>
            </w:r>
          </w:p>
        </w:tc>
        <w:tc>
          <w:tcPr>
            <w:tcW w:w="2622" w:type="dxa"/>
          </w:tcPr>
          <w:p w:rsidR="00126779" w:rsidRPr="00351DD4" w:rsidRDefault="00126779" w:rsidP="00126779">
            <w:pPr>
              <w:autoSpaceDE w:val="0"/>
              <w:autoSpaceDN w:val="0"/>
              <w:adjustRightInd w:val="0"/>
              <w:rPr>
                <w:rFonts w:eastAsia="Calibri" w:cs="Calibri"/>
                <w:b/>
                <w:color w:val="984806" w:themeColor="accent6" w:themeShade="80"/>
                <w:sz w:val="8"/>
                <w:szCs w:val="8"/>
              </w:rPr>
            </w:pPr>
            <w:r w:rsidRPr="00351DD4">
              <w:rPr>
                <w:b/>
                <w:noProof/>
                <w:sz w:val="32"/>
                <w:szCs w:val="32"/>
                <w:lang w:eastAsia="en-GB"/>
              </w:rPr>
              <w:drawing>
                <wp:inline distT="0" distB="0" distL="0" distR="0" wp14:anchorId="01C3CBC3" wp14:editId="4F6CA446">
                  <wp:extent cx="819150" cy="256182"/>
                  <wp:effectExtent l="0" t="0" r="0" b="0"/>
                  <wp:docPr id="251" name="Picture 25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r w:rsidR="00126779" w:rsidRPr="00351DD4" w:rsidTr="00126779">
        <w:trPr>
          <w:trHeight w:val="118"/>
        </w:trPr>
        <w:tc>
          <w:tcPr>
            <w:tcW w:w="5438"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5"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5</w:t>
            </w:r>
            <w:r w:rsidRPr="00351DD4">
              <w:rPr>
                <w:rFonts w:eastAsia="Calibri" w:cs="Calibri"/>
                <w:b/>
                <w:color w:val="984806" w:themeColor="accent6" w:themeShade="80"/>
              </w:rPr>
              <w:t>/1</w:t>
            </w:r>
            <w:r>
              <w:rPr>
                <w:rFonts w:eastAsia="Calibri" w:cs="Calibri"/>
                <w:b/>
                <w:color w:val="984806" w:themeColor="accent6" w:themeShade="80"/>
              </w:rPr>
              <w:t>6</w:t>
            </w:r>
            <w:r w:rsidRPr="00351DD4">
              <w:rPr>
                <w:rFonts w:eastAsia="Calibri" w:cs="Calibri"/>
                <w:b/>
                <w:color w:val="984806" w:themeColor="accent6" w:themeShade="80"/>
              </w:rPr>
              <w:t>:</w:t>
            </w:r>
          </w:p>
        </w:tc>
        <w:tc>
          <w:tcPr>
            <w:tcW w:w="2622" w:type="dxa"/>
          </w:tcPr>
          <w:p w:rsidR="00126779" w:rsidRPr="00351DD4" w:rsidRDefault="00126779" w:rsidP="00126779">
            <w:pPr>
              <w:autoSpaceDE w:val="0"/>
              <w:autoSpaceDN w:val="0"/>
              <w:adjustRightInd w:val="0"/>
              <w:rPr>
                <w:rFonts w:eastAsia="Calibri" w:cs="Calibri"/>
                <w:color w:val="984806" w:themeColor="accent6" w:themeShade="80"/>
                <w:sz w:val="32"/>
              </w:rPr>
            </w:pPr>
            <w:r w:rsidRPr="00351DD4">
              <w:rPr>
                <w:b/>
                <w:noProof/>
                <w:sz w:val="32"/>
                <w:szCs w:val="32"/>
                <w:lang w:eastAsia="en-GB"/>
              </w:rPr>
              <w:drawing>
                <wp:inline distT="0" distB="0" distL="0" distR="0" wp14:anchorId="15E6E042" wp14:editId="553611C0">
                  <wp:extent cx="819150" cy="256182"/>
                  <wp:effectExtent l="0" t="0" r="0" b="0"/>
                  <wp:docPr id="252" name="Picture 2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351DD4" w:rsidRDefault="00126779" w:rsidP="00126779">
            <w:pPr>
              <w:autoSpaceDE w:val="0"/>
              <w:autoSpaceDN w:val="0"/>
              <w:adjustRightInd w:val="0"/>
              <w:rPr>
                <w:rFonts w:eastAsia="Calibri" w:cs="Calibri"/>
                <w:b/>
                <w:color w:val="984806" w:themeColor="accent6" w:themeShade="80"/>
              </w:rPr>
            </w:pPr>
          </w:p>
        </w:tc>
      </w:tr>
    </w:tbl>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Calibri"/>
          <w:color w:val="984806" w:themeColor="accent6" w:themeShade="80"/>
          <w:szCs w:val="22"/>
        </w:rPr>
      </w:pPr>
      <w:r w:rsidRPr="00351DD4">
        <w:rPr>
          <w:rFonts w:eastAsia="Calibri" w:cs="Times New Roman"/>
          <w:szCs w:val="22"/>
        </w:rPr>
        <w:t>In the 201</w:t>
      </w:r>
      <w:r>
        <w:rPr>
          <w:rFonts w:eastAsia="Calibri" w:cs="Times New Roman"/>
          <w:szCs w:val="22"/>
        </w:rPr>
        <w:t>7</w:t>
      </w:r>
      <w:r w:rsidRPr="00351DD4">
        <w:rPr>
          <w:rFonts w:eastAsia="Calibri" w:cs="Times New Roman"/>
          <w:szCs w:val="22"/>
        </w:rPr>
        <w:t>/1</w:t>
      </w:r>
      <w:r>
        <w:rPr>
          <w:rFonts w:eastAsia="Calibri" w:cs="Times New Roman"/>
          <w:szCs w:val="22"/>
        </w:rPr>
        <w:t>8</w:t>
      </w:r>
      <w:r w:rsidRPr="00351DD4">
        <w:rPr>
          <w:rFonts w:eastAsia="Calibri" w:cs="Times New Roman"/>
          <w:szCs w:val="22"/>
        </w:rPr>
        <w:t xml:space="preserve"> monitoring year, planning </w:t>
      </w:r>
      <w:r>
        <w:rPr>
          <w:rFonts w:eastAsia="Calibri" w:cs="Times New Roman"/>
          <w:szCs w:val="22"/>
        </w:rPr>
        <w:t>permission was granted for eleven</w:t>
      </w:r>
      <w:r w:rsidRPr="00351DD4">
        <w:rPr>
          <w:rFonts w:eastAsia="Calibri" w:cs="Calibri"/>
          <w:szCs w:val="22"/>
        </w:rPr>
        <w:t xml:space="preserve"> </w:t>
      </w:r>
      <w:r w:rsidRPr="00351DD4">
        <w:rPr>
          <w:rFonts w:eastAsia="Calibri" w:cs="Times New Roman"/>
          <w:szCs w:val="22"/>
        </w:rPr>
        <w:t>new student accommodation developments wh</w:t>
      </w:r>
      <w:r>
        <w:rPr>
          <w:rFonts w:eastAsia="Calibri" w:cs="Times New Roman"/>
          <w:szCs w:val="22"/>
        </w:rPr>
        <w:t>ich would provide a total of 1978</w:t>
      </w:r>
      <w:r w:rsidRPr="00351DD4">
        <w:rPr>
          <w:rFonts w:eastAsia="Calibri" w:cs="Times New Roman"/>
          <w:szCs w:val="22"/>
        </w:rPr>
        <w:t xml:space="preserve"> (net) student rooms. Table 19 shows that </w:t>
      </w:r>
      <w:r>
        <w:rPr>
          <w:rFonts w:eastAsia="Calibri" w:cs="Times New Roman"/>
          <w:szCs w:val="22"/>
        </w:rPr>
        <w:t>all but one</w:t>
      </w:r>
      <w:r w:rsidRPr="00351DD4">
        <w:rPr>
          <w:rFonts w:eastAsia="Calibri" w:cs="Times New Roman"/>
          <w:szCs w:val="22"/>
        </w:rPr>
        <w:t xml:space="preserve"> of the </w:t>
      </w:r>
      <w:proofErr w:type="gramStart"/>
      <w:r w:rsidRPr="00351DD4">
        <w:rPr>
          <w:rFonts w:eastAsia="Calibri" w:cs="Times New Roman"/>
          <w:szCs w:val="22"/>
        </w:rPr>
        <w:t>development</w:t>
      </w:r>
      <w:proofErr w:type="gramEnd"/>
      <w:r w:rsidRPr="00351DD4">
        <w:rPr>
          <w:rFonts w:eastAsia="Calibri" w:cs="Times New Roman"/>
          <w:szCs w:val="22"/>
        </w:rPr>
        <w:t xml:space="preserve"> permitted would be located on sites that meet the locational requirements of Sites and Housing Plan Policy HP5.</w:t>
      </w:r>
    </w:p>
    <w:tbl>
      <w:tblPr>
        <w:tblStyle w:val="TableGrid102"/>
        <w:tblW w:w="0" w:type="auto"/>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440"/>
        <w:gridCol w:w="1428"/>
        <w:gridCol w:w="3228"/>
        <w:gridCol w:w="1011"/>
        <w:gridCol w:w="2169"/>
      </w:tblGrid>
      <w:tr w:rsidR="00126779" w:rsidRPr="00BB304D" w:rsidTr="00126779">
        <w:tc>
          <w:tcPr>
            <w:tcW w:w="1440" w:type="dxa"/>
            <w:shd w:val="clear" w:color="auto" w:fill="FDE9D9" w:themeFill="accent6" w:themeFillTint="33"/>
          </w:tcPr>
          <w:p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Application</w:t>
            </w:r>
          </w:p>
        </w:tc>
        <w:tc>
          <w:tcPr>
            <w:tcW w:w="1428" w:type="dxa"/>
            <w:shd w:val="clear" w:color="auto" w:fill="FDE9D9" w:themeFill="accent6" w:themeFillTint="33"/>
          </w:tcPr>
          <w:p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Site</w:t>
            </w:r>
          </w:p>
        </w:tc>
        <w:tc>
          <w:tcPr>
            <w:tcW w:w="3228" w:type="dxa"/>
            <w:shd w:val="clear" w:color="auto" w:fill="FDE9D9" w:themeFill="accent6" w:themeFillTint="33"/>
          </w:tcPr>
          <w:p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Development</w:t>
            </w:r>
          </w:p>
        </w:tc>
        <w:tc>
          <w:tcPr>
            <w:tcW w:w="1011" w:type="dxa"/>
            <w:shd w:val="clear" w:color="auto" w:fill="FDE9D9" w:themeFill="accent6" w:themeFillTint="33"/>
          </w:tcPr>
          <w:p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Total No. Rooms Net</w:t>
            </w:r>
          </w:p>
        </w:tc>
        <w:tc>
          <w:tcPr>
            <w:tcW w:w="2169" w:type="dxa"/>
            <w:shd w:val="clear" w:color="auto" w:fill="FDE9D9" w:themeFill="accent6" w:themeFillTint="33"/>
          </w:tcPr>
          <w:p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Compliance with HP5 locational criteria</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16/02687/FUL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265 - 279 </w:t>
            </w:r>
            <w:proofErr w:type="spellStart"/>
            <w:r w:rsidRPr="00BB304D">
              <w:rPr>
                <w:rFonts w:cs="Calibri"/>
                <w:color w:val="000000"/>
                <w:sz w:val="20"/>
                <w:szCs w:val="20"/>
              </w:rPr>
              <w:t>Iffley</w:t>
            </w:r>
            <w:proofErr w:type="spellEnd"/>
            <w:r w:rsidRPr="00BB304D">
              <w:rPr>
                <w:rFonts w:cs="Calibri"/>
                <w:color w:val="000000"/>
                <w:sz w:val="20"/>
                <w:szCs w:val="20"/>
              </w:rPr>
              <w:t xml:space="preserve"> Road And Garages</w:t>
            </w:r>
            <w:r w:rsidRPr="00BB304D">
              <w:rPr>
                <w:rFonts w:cs="Calibri"/>
                <w:color w:val="000000"/>
                <w:sz w:val="20"/>
                <w:szCs w:val="20"/>
              </w:rPr>
              <w:br/>
              <w:t>Percy Street</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OX4 4AH</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Re-development of the application site to include the demolition of existing buildings, erection of buildings to provide student accommodation (117 student rooms) and ancillary facilities, 11 x self-contained flats, a single storey garden room accommodating flexible space for use as student common room/teaching/lecturing space, 150sqm GIA for employment uses (Use Class B1), and associated landscaping and infrastructure. (Amended plans)</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117</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(Main thoroughfare)</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17/00418/FUL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24 </w:t>
            </w:r>
            <w:proofErr w:type="spellStart"/>
            <w:r w:rsidRPr="00BB304D">
              <w:rPr>
                <w:rFonts w:cs="Calibri"/>
                <w:color w:val="000000"/>
                <w:sz w:val="20"/>
                <w:szCs w:val="20"/>
              </w:rPr>
              <w:t>Norham</w:t>
            </w:r>
            <w:proofErr w:type="spellEnd"/>
            <w:r w:rsidRPr="00BB304D">
              <w:rPr>
                <w:rFonts w:cs="Calibri"/>
                <w:color w:val="000000"/>
                <w:sz w:val="20"/>
                <w:szCs w:val="20"/>
              </w:rPr>
              <w:t xml:space="preserve"> Gardens</w:t>
            </w:r>
            <w:r w:rsidRPr="00BB304D">
              <w:rPr>
                <w:rFonts w:cs="Calibri"/>
                <w:color w:val="000000"/>
                <w:sz w:val="20"/>
                <w:szCs w:val="20"/>
              </w:rPr>
              <w:br/>
              <w:t>Oxford</w:t>
            </w:r>
            <w:r w:rsidRPr="00BB304D">
              <w:rPr>
                <w:rFonts w:cs="Calibri"/>
                <w:color w:val="000000"/>
                <w:sz w:val="20"/>
                <w:szCs w:val="20"/>
              </w:rPr>
              <w:br/>
              <w:t>OX2 6QD</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Conversion of existing building from 3 x flats (Use Class C3) to provide 1no. </w:t>
            </w:r>
            <w:proofErr w:type="gramStart"/>
            <w:r w:rsidRPr="00BB304D">
              <w:rPr>
                <w:rFonts w:cs="Calibri"/>
                <w:color w:val="000000"/>
                <w:sz w:val="20"/>
                <w:szCs w:val="20"/>
              </w:rPr>
              <w:t>bedsit</w:t>
            </w:r>
            <w:proofErr w:type="gramEnd"/>
            <w:r w:rsidRPr="00BB304D">
              <w:rPr>
                <w:rFonts w:cs="Calibri"/>
                <w:color w:val="000000"/>
                <w:sz w:val="20"/>
                <w:szCs w:val="20"/>
              </w:rPr>
              <w:t xml:space="preserve"> and 11no. </w:t>
            </w:r>
            <w:proofErr w:type="gramStart"/>
            <w:r w:rsidRPr="00BB304D">
              <w:rPr>
                <w:rFonts w:cs="Calibri"/>
                <w:color w:val="000000"/>
                <w:sz w:val="20"/>
                <w:szCs w:val="20"/>
              </w:rPr>
              <w:t>student</w:t>
            </w:r>
            <w:proofErr w:type="gramEnd"/>
            <w:r w:rsidRPr="00BB304D">
              <w:rPr>
                <w:rFonts w:cs="Calibri"/>
                <w:color w:val="000000"/>
                <w:sz w:val="20"/>
                <w:szCs w:val="20"/>
              </w:rPr>
              <w:t xml:space="preserve"> bedroom (Sui Generis).</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11</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 xml:space="preserve">(adjacent to Main thoroughfare) </w:t>
            </w:r>
          </w:p>
          <w:p w:rsidR="00126779" w:rsidRPr="00BB304D" w:rsidRDefault="00126779" w:rsidP="00126779">
            <w:pPr>
              <w:jc w:val="center"/>
              <w:rPr>
                <w:rFonts w:cs="Calibri"/>
                <w:color w:val="262626" w:themeColor="text1" w:themeTint="D9"/>
                <w:sz w:val="20"/>
                <w:szCs w:val="20"/>
              </w:rPr>
            </w:pP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lastRenderedPageBreak/>
              <w:t>16/03056/FUL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Balliol College Sports Ground </w:t>
            </w:r>
            <w:r w:rsidRPr="00BB304D">
              <w:rPr>
                <w:rFonts w:cs="Calibri"/>
                <w:color w:val="000000"/>
                <w:sz w:val="20"/>
                <w:szCs w:val="20"/>
              </w:rPr>
              <w:br/>
              <w:t>Jowett Walk</w:t>
            </w:r>
            <w:r w:rsidRPr="00BB304D">
              <w:rPr>
                <w:rFonts w:cs="Calibri"/>
                <w:color w:val="000000"/>
                <w:sz w:val="20"/>
                <w:szCs w:val="20"/>
              </w:rPr>
              <w:br/>
              <w:t>Oxford</w:t>
            </w:r>
            <w:r w:rsidRPr="00BB304D">
              <w:rPr>
                <w:rFonts w:cs="Calibri"/>
                <w:color w:val="000000"/>
                <w:sz w:val="20"/>
                <w:szCs w:val="20"/>
              </w:rPr>
              <w:br/>
              <w:t>OX1 3TN</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Proposed demolition of existing collegiate accommodation and erection of C2 residential institution including sports pavilion, assembly space and associated accommodation, access and landscape.(amended information and revised plans)</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145</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(adjacent to existing college campus)</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16/02997/OUT</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Land Adjacent 2</w:t>
            </w:r>
            <w:r w:rsidRPr="00BB304D">
              <w:rPr>
                <w:rFonts w:cs="Calibri"/>
                <w:color w:val="000000"/>
                <w:sz w:val="20"/>
                <w:szCs w:val="20"/>
              </w:rPr>
              <w:br/>
            </w:r>
            <w:proofErr w:type="spellStart"/>
            <w:r w:rsidRPr="00BB304D">
              <w:rPr>
                <w:rFonts w:cs="Calibri"/>
                <w:color w:val="000000"/>
                <w:sz w:val="20"/>
                <w:szCs w:val="20"/>
              </w:rPr>
              <w:t>Rymers</w:t>
            </w:r>
            <w:proofErr w:type="spellEnd"/>
            <w:r w:rsidRPr="00BB304D">
              <w:rPr>
                <w:rFonts w:cs="Calibri"/>
                <w:color w:val="000000"/>
                <w:sz w:val="20"/>
                <w:szCs w:val="20"/>
              </w:rPr>
              <w:t xml:space="preserve"> Lane</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OX4 3LA</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Application for outline planning permission for the provision of </w:t>
            </w:r>
            <w:proofErr w:type="gramStart"/>
            <w:r w:rsidRPr="00BB304D">
              <w:rPr>
                <w:rFonts w:cs="Calibri"/>
                <w:color w:val="000000"/>
                <w:sz w:val="20"/>
                <w:szCs w:val="20"/>
              </w:rPr>
              <w:t>development comprising</w:t>
            </w:r>
            <w:proofErr w:type="gramEnd"/>
            <w:r w:rsidRPr="00BB304D">
              <w:rPr>
                <w:rFonts w:cs="Calibri"/>
                <w:color w:val="000000"/>
                <w:sz w:val="20"/>
                <w:szCs w:val="20"/>
              </w:rPr>
              <w:t xml:space="preserve"> a purpose built student accommodation facility of 39 study bedrooms with ancillary facilities for use during academic term time and vacation periods, including means of access and scale.</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39</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(adjacent to Main thoroughfare)</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17/01230/FUL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46 And 47 St </w:t>
            </w:r>
            <w:proofErr w:type="spellStart"/>
            <w:r w:rsidRPr="00BB304D">
              <w:rPr>
                <w:rFonts w:cs="Calibri"/>
                <w:color w:val="000000"/>
                <w:sz w:val="20"/>
                <w:szCs w:val="20"/>
              </w:rPr>
              <w:t>Clement's</w:t>
            </w:r>
            <w:proofErr w:type="spellEnd"/>
            <w:r w:rsidRPr="00BB304D">
              <w:rPr>
                <w:rFonts w:cs="Calibri"/>
                <w:color w:val="000000"/>
                <w:sz w:val="20"/>
                <w:szCs w:val="20"/>
              </w:rPr>
              <w:t xml:space="preserve"> Street</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OX4 1AG</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Change of use from a House in Multiple Occupation (Use Class C4) and Housing in Multiple Occupation (Sui Generis) to Student Accommodation (Sui Generis). Demolition of existing single storey rear extensions and erection of a new single storey rear extension, Replacement windows and existing render to be repainted. Erection of single storey and two storey extension to existing outbuilding. Alterations to roof of existing two storey </w:t>
            </w:r>
            <w:proofErr w:type="gramStart"/>
            <w:r w:rsidRPr="00BB304D">
              <w:rPr>
                <w:rFonts w:cs="Calibri"/>
                <w:color w:val="000000"/>
                <w:sz w:val="20"/>
                <w:szCs w:val="20"/>
              </w:rPr>
              <w:t>outbuilding</w:t>
            </w:r>
            <w:proofErr w:type="gramEnd"/>
            <w:r w:rsidRPr="00BB304D">
              <w:rPr>
                <w:rFonts w:cs="Calibri"/>
                <w:color w:val="000000"/>
                <w:sz w:val="20"/>
                <w:szCs w:val="20"/>
              </w:rPr>
              <w:t>. Insertion of windows and provision of access to first floor, Re-render existing brickwork and installation of timber cladding. Provision of bin and cycle store and formation of access from Caroline Street. (Amended Description) (Amended plans)</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16</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(Main thoroughfare)</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16/01752/FUL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Land At Swan Motor Centre And To The East</w:t>
            </w:r>
            <w:r w:rsidRPr="00BB304D">
              <w:rPr>
                <w:rFonts w:cs="Calibri"/>
                <w:color w:val="000000"/>
                <w:sz w:val="20"/>
                <w:szCs w:val="20"/>
              </w:rPr>
              <w:br/>
              <w:t>Between Towns Road</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OX4 3LX</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Redevelopment of site to provide purpose built managed student accommodation comprising 144 study rooms, provision for one commercial unit, and provision of an on-site management suite, together with associated landscaping and infrastructure (amended plans).</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144</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(Main thoroughfare)</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17/00758/FUL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St </w:t>
            </w:r>
            <w:proofErr w:type="spellStart"/>
            <w:r w:rsidRPr="00BB304D">
              <w:rPr>
                <w:rFonts w:cs="Calibri"/>
                <w:color w:val="000000"/>
                <w:sz w:val="20"/>
                <w:szCs w:val="20"/>
              </w:rPr>
              <w:t>Catherines</w:t>
            </w:r>
            <w:proofErr w:type="spellEnd"/>
            <w:r w:rsidRPr="00BB304D">
              <w:rPr>
                <w:rFonts w:cs="Calibri"/>
                <w:color w:val="000000"/>
                <w:sz w:val="20"/>
                <w:szCs w:val="20"/>
              </w:rPr>
              <w:t xml:space="preserve"> College</w:t>
            </w:r>
            <w:r w:rsidRPr="00BB304D">
              <w:rPr>
                <w:rFonts w:cs="Calibri"/>
                <w:color w:val="000000"/>
                <w:sz w:val="20"/>
                <w:szCs w:val="20"/>
              </w:rPr>
              <w:br/>
              <w:t>Manor Road</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OX1 3UJ</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Erection of 78 student bedrooms (4 with disabled access) arranged in clusters of 8, over three floors in three 'pavilion' style buildings connected by glazed stairwells; together with a three storey Graduate Centre, landscaping, flood compensation, and associated infrastructure; and including the demolition of staircase 23.</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78</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(Existing college campus)</w:t>
            </w:r>
          </w:p>
        </w:tc>
      </w:tr>
      <w:tr w:rsidR="00126779" w:rsidRPr="00BB304D" w:rsidTr="00126779">
        <w:tc>
          <w:tcPr>
            <w:tcW w:w="1440" w:type="dxa"/>
            <w:vAlign w:val="center"/>
          </w:tcPr>
          <w:p w:rsidR="00126779" w:rsidRPr="00207CDB" w:rsidRDefault="00126779" w:rsidP="00126779">
            <w:pPr>
              <w:rPr>
                <w:rFonts w:cs="Calibri"/>
                <w:color w:val="000000"/>
                <w:sz w:val="20"/>
                <w:szCs w:val="20"/>
              </w:rPr>
            </w:pPr>
            <w:r w:rsidRPr="00207CDB">
              <w:rPr>
                <w:rFonts w:cs="Calibri"/>
                <w:color w:val="000000"/>
                <w:sz w:val="20"/>
                <w:szCs w:val="20"/>
              </w:rPr>
              <w:lastRenderedPageBreak/>
              <w:t>16/02945/FUL</w:t>
            </w:r>
          </w:p>
        </w:tc>
        <w:tc>
          <w:tcPr>
            <w:tcW w:w="1428" w:type="dxa"/>
            <w:shd w:val="clear" w:color="auto" w:fill="auto"/>
            <w:vAlign w:val="center"/>
          </w:tcPr>
          <w:p w:rsidR="00126779" w:rsidRPr="00207CDB" w:rsidRDefault="00126779" w:rsidP="00126779">
            <w:pPr>
              <w:rPr>
                <w:rFonts w:cs="Calibri"/>
                <w:color w:val="000000"/>
                <w:sz w:val="20"/>
                <w:szCs w:val="20"/>
              </w:rPr>
            </w:pPr>
            <w:r w:rsidRPr="00207CDB">
              <w:rPr>
                <w:rFonts w:cs="Calibri"/>
                <w:color w:val="000000"/>
                <w:sz w:val="20"/>
                <w:szCs w:val="20"/>
              </w:rPr>
              <w:t>Oxford Business Centre</w:t>
            </w:r>
            <w:r w:rsidRPr="00207CDB">
              <w:rPr>
                <w:rFonts w:cs="Calibri"/>
                <w:color w:val="000000"/>
                <w:sz w:val="20"/>
                <w:szCs w:val="20"/>
              </w:rPr>
              <w:br/>
            </w:r>
            <w:proofErr w:type="spellStart"/>
            <w:r w:rsidRPr="00207CDB">
              <w:rPr>
                <w:rFonts w:cs="Calibri"/>
                <w:color w:val="000000"/>
                <w:sz w:val="20"/>
                <w:szCs w:val="20"/>
              </w:rPr>
              <w:t>Osney</w:t>
            </w:r>
            <w:proofErr w:type="spellEnd"/>
            <w:r w:rsidRPr="00207CDB">
              <w:rPr>
                <w:rFonts w:cs="Calibri"/>
                <w:color w:val="000000"/>
                <w:sz w:val="20"/>
                <w:szCs w:val="20"/>
              </w:rPr>
              <w:t xml:space="preserve"> Lane</w:t>
            </w:r>
            <w:r w:rsidRPr="00207CDB">
              <w:rPr>
                <w:rFonts w:cs="Calibri"/>
                <w:color w:val="000000"/>
                <w:sz w:val="20"/>
                <w:szCs w:val="20"/>
              </w:rPr>
              <w:br/>
              <w:t>Oxford</w:t>
            </w:r>
            <w:r w:rsidRPr="00207CDB">
              <w:rPr>
                <w:rFonts w:cs="Calibri"/>
                <w:color w:val="000000"/>
                <w:sz w:val="20"/>
                <w:szCs w:val="20"/>
              </w:rPr>
              <w:br/>
              <w:t>Oxfordshire</w:t>
            </w:r>
            <w:r w:rsidRPr="00207CDB">
              <w:rPr>
                <w:rFonts w:cs="Calibri"/>
                <w:color w:val="000000"/>
                <w:sz w:val="20"/>
                <w:szCs w:val="20"/>
              </w:rPr>
              <w:br/>
              <w:t>OX1 1TB</w:t>
            </w:r>
          </w:p>
        </w:tc>
        <w:tc>
          <w:tcPr>
            <w:tcW w:w="3228" w:type="dxa"/>
            <w:vAlign w:val="center"/>
          </w:tcPr>
          <w:p w:rsidR="00126779" w:rsidRPr="00207CDB" w:rsidRDefault="00126779" w:rsidP="00126779">
            <w:pPr>
              <w:rPr>
                <w:rFonts w:cs="Calibri"/>
                <w:color w:val="000000"/>
                <w:sz w:val="20"/>
                <w:szCs w:val="20"/>
              </w:rPr>
            </w:pPr>
            <w:r w:rsidRPr="00207CDB">
              <w:rPr>
                <w:rFonts w:cs="Calibri"/>
                <w:color w:val="000000"/>
                <w:sz w:val="20"/>
                <w:szCs w:val="20"/>
              </w:rPr>
              <w:t>Demolition of units 1-15 Oxford Business Centre and redevelopment including erection of purpose built student accommodation with small-scale A1, A3, A4 and B1 units, with associated landscaping.</w:t>
            </w:r>
          </w:p>
        </w:tc>
        <w:tc>
          <w:tcPr>
            <w:tcW w:w="1011" w:type="dxa"/>
            <w:vAlign w:val="center"/>
          </w:tcPr>
          <w:p w:rsidR="00126779" w:rsidRPr="00207CDB" w:rsidRDefault="00126779" w:rsidP="00126779">
            <w:pPr>
              <w:jc w:val="right"/>
              <w:rPr>
                <w:rFonts w:cs="Calibri"/>
                <w:color w:val="000000"/>
                <w:sz w:val="20"/>
                <w:szCs w:val="20"/>
              </w:rPr>
            </w:pPr>
            <w:r w:rsidRPr="00207CDB">
              <w:rPr>
                <w:rFonts w:cs="Calibri"/>
                <w:color w:val="000000"/>
                <w:sz w:val="20"/>
                <w:szCs w:val="20"/>
              </w:rPr>
              <w:t>514</w:t>
            </w:r>
          </w:p>
        </w:tc>
        <w:tc>
          <w:tcPr>
            <w:tcW w:w="2169" w:type="dxa"/>
          </w:tcPr>
          <w:p w:rsidR="00207CDB" w:rsidRPr="00BB304D" w:rsidRDefault="00207CDB" w:rsidP="00207CDB">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207CDB" w:rsidP="00207CDB">
            <w:pPr>
              <w:jc w:val="center"/>
              <w:rPr>
                <w:rFonts w:cs="Calibri"/>
                <w:color w:val="262626" w:themeColor="text1" w:themeTint="D9"/>
                <w:sz w:val="20"/>
                <w:szCs w:val="20"/>
                <w:highlight w:val="red"/>
              </w:rPr>
            </w:pPr>
            <w:r>
              <w:rPr>
                <w:rFonts w:cs="Calibri"/>
                <w:color w:val="262626" w:themeColor="text1" w:themeTint="D9"/>
                <w:sz w:val="20"/>
                <w:szCs w:val="20"/>
              </w:rPr>
              <w:t>(City centre)</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17/02140/FUL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British Telecom</w:t>
            </w:r>
            <w:r w:rsidRPr="00BB304D">
              <w:rPr>
                <w:rFonts w:cs="Calibri"/>
                <w:color w:val="000000"/>
                <w:sz w:val="20"/>
                <w:szCs w:val="20"/>
              </w:rPr>
              <w:br/>
              <w:t>James Wolfe Road</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OX4 2PY</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Demolition of existing buildings. Erection of new student accommodation comprising of 885 student rooms (of which 46 would be fully accessible), communal areas and amenity provision, associated cafe and shop, laundrettes, plant room and electricity substation, new vehicular and pedestrian access to James Wolfe Road and closure of existing, cycle parking, landscaping and new enclosures. Use of student accommodation outside term time by cultural and academic visitors and by conference and summer school delegates.</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885</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(Allocate site)</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18/00286/FUL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181 Woodstock Road</w:t>
            </w:r>
            <w:r w:rsidRPr="00BB304D">
              <w:rPr>
                <w:rFonts w:cs="Calibri"/>
                <w:color w:val="000000"/>
                <w:sz w:val="20"/>
                <w:szCs w:val="20"/>
              </w:rPr>
              <w:br/>
              <w:t>Oxford</w:t>
            </w:r>
            <w:r w:rsidRPr="00BB304D">
              <w:rPr>
                <w:rFonts w:cs="Calibri"/>
                <w:color w:val="000000"/>
                <w:sz w:val="20"/>
                <w:szCs w:val="20"/>
              </w:rPr>
              <w:br/>
              <w:t>OX2 7NB</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Change of use from student accommodation (Use Class C2) to single residential dwelling (Use class C3).  Alterations to include removal of existing chimney stack; removal of rear external steel escape staircase; insertion of new cast iron soil pipe to side elevation; replacement of 2no. </w:t>
            </w:r>
            <w:proofErr w:type="gramStart"/>
            <w:r w:rsidRPr="00BB304D">
              <w:rPr>
                <w:rFonts w:cs="Calibri"/>
                <w:color w:val="000000"/>
                <w:sz w:val="20"/>
                <w:szCs w:val="20"/>
              </w:rPr>
              <w:t>fire</w:t>
            </w:r>
            <w:proofErr w:type="gramEnd"/>
            <w:r w:rsidRPr="00BB304D">
              <w:rPr>
                <w:rFonts w:cs="Calibri"/>
                <w:color w:val="000000"/>
                <w:sz w:val="20"/>
                <w:szCs w:val="20"/>
              </w:rPr>
              <w:t xml:space="preserve"> doors with windows to rear elevation; replacement of ground floor windows with bi-fold doors to rear elevation and formation of steps to new garden terrace at rear.</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-9</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 xml:space="preserve">(Main </w:t>
            </w:r>
            <w:proofErr w:type="spellStart"/>
            <w:r w:rsidRPr="00BB304D">
              <w:rPr>
                <w:rFonts w:cs="Calibri"/>
                <w:color w:val="262626" w:themeColor="text1" w:themeTint="D9"/>
                <w:sz w:val="20"/>
                <w:szCs w:val="20"/>
              </w:rPr>
              <w:t>throughfare</w:t>
            </w:r>
            <w:proofErr w:type="spellEnd"/>
            <w:r w:rsidRPr="00BB304D">
              <w:rPr>
                <w:rFonts w:cs="Calibri"/>
                <w:color w:val="262626" w:themeColor="text1" w:themeTint="D9"/>
                <w:sz w:val="20"/>
                <w:szCs w:val="20"/>
              </w:rPr>
              <w:t>)</w:t>
            </w:r>
          </w:p>
        </w:tc>
      </w:tr>
      <w:tr w:rsidR="00126779" w:rsidRPr="00BB304D" w:rsidTr="00126779">
        <w:tc>
          <w:tcPr>
            <w:tcW w:w="1440"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17/02537/FUL</w:t>
            </w:r>
          </w:p>
        </w:tc>
        <w:tc>
          <w:tcPr>
            <w:tcW w:w="1428" w:type="dxa"/>
            <w:shd w:val="clear" w:color="auto" w:fill="auto"/>
            <w:vAlign w:val="center"/>
          </w:tcPr>
          <w:p w:rsidR="00126779" w:rsidRPr="00BB304D" w:rsidRDefault="00126779" w:rsidP="00126779">
            <w:pPr>
              <w:rPr>
                <w:rFonts w:cs="Calibri"/>
                <w:color w:val="000000"/>
                <w:sz w:val="20"/>
                <w:szCs w:val="20"/>
              </w:rPr>
            </w:pPr>
            <w:r w:rsidRPr="00BB304D">
              <w:rPr>
                <w:rFonts w:cs="Calibri"/>
                <w:color w:val="000000"/>
                <w:sz w:val="20"/>
                <w:szCs w:val="20"/>
              </w:rPr>
              <w:t>St Hilda's College</w:t>
            </w:r>
            <w:r w:rsidRPr="00BB304D">
              <w:rPr>
                <w:rFonts w:cs="Calibri"/>
                <w:color w:val="000000"/>
                <w:sz w:val="20"/>
                <w:szCs w:val="20"/>
              </w:rPr>
              <w:br/>
            </w:r>
            <w:proofErr w:type="spellStart"/>
            <w:r w:rsidRPr="00BB304D">
              <w:rPr>
                <w:rFonts w:cs="Calibri"/>
                <w:color w:val="000000"/>
                <w:sz w:val="20"/>
                <w:szCs w:val="20"/>
              </w:rPr>
              <w:t>Cowley</w:t>
            </w:r>
            <w:proofErr w:type="spellEnd"/>
            <w:r w:rsidRPr="00BB304D">
              <w:rPr>
                <w:rFonts w:cs="Calibri"/>
                <w:color w:val="000000"/>
                <w:sz w:val="20"/>
                <w:szCs w:val="20"/>
              </w:rPr>
              <w:t xml:space="preserve"> Place</w:t>
            </w:r>
            <w:r w:rsidRPr="00BB304D">
              <w:rPr>
                <w:rFonts w:cs="Calibri"/>
                <w:color w:val="000000"/>
                <w:sz w:val="20"/>
                <w:szCs w:val="20"/>
              </w:rPr>
              <w:br/>
              <w:t>Oxford</w:t>
            </w:r>
            <w:r w:rsidRPr="00BB304D">
              <w:rPr>
                <w:rFonts w:cs="Calibri"/>
                <w:color w:val="000000"/>
                <w:sz w:val="20"/>
                <w:szCs w:val="20"/>
              </w:rPr>
              <w:br/>
              <w:t>Oxfordshire</w:t>
            </w:r>
            <w:r w:rsidRPr="00BB304D">
              <w:rPr>
                <w:rFonts w:cs="Calibri"/>
                <w:color w:val="000000"/>
                <w:sz w:val="20"/>
                <w:szCs w:val="20"/>
              </w:rPr>
              <w:br/>
              <w:t>OX4 1DY</w:t>
            </w:r>
          </w:p>
        </w:tc>
        <w:tc>
          <w:tcPr>
            <w:tcW w:w="3228" w:type="dxa"/>
            <w:vAlign w:val="center"/>
          </w:tcPr>
          <w:p w:rsidR="00126779" w:rsidRPr="00BB304D" w:rsidRDefault="00126779" w:rsidP="00126779">
            <w:pPr>
              <w:rPr>
                <w:rFonts w:cs="Calibri"/>
                <w:color w:val="000000"/>
                <w:sz w:val="20"/>
                <w:szCs w:val="20"/>
              </w:rPr>
            </w:pPr>
            <w:r w:rsidRPr="00BB304D">
              <w:rPr>
                <w:rFonts w:cs="Calibri"/>
                <w:color w:val="000000"/>
                <w:sz w:val="20"/>
                <w:szCs w:val="20"/>
              </w:rPr>
              <w:t xml:space="preserve">Proposed demolition of existing buildings and redevelopment comprising: erection of new building to provide student accommodation (59 bedrooms), porters lodge, middle common room, fellows' accommodation and academic and administrative offices; erection of new pavilion building; removal of existing porch to old hall building and provision of replacement; creation of new pedestrian access from </w:t>
            </w:r>
            <w:proofErr w:type="spellStart"/>
            <w:r w:rsidRPr="00BB304D">
              <w:rPr>
                <w:rFonts w:cs="Calibri"/>
                <w:color w:val="000000"/>
                <w:sz w:val="20"/>
                <w:szCs w:val="20"/>
              </w:rPr>
              <w:t>Cowley</w:t>
            </w:r>
            <w:proofErr w:type="spellEnd"/>
            <w:r w:rsidRPr="00BB304D">
              <w:rPr>
                <w:rFonts w:cs="Calibri"/>
                <w:color w:val="000000"/>
                <w:sz w:val="20"/>
                <w:szCs w:val="20"/>
              </w:rPr>
              <w:t xml:space="preserve"> Place; replacement bin and bicycle parking.</w:t>
            </w:r>
          </w:p>
        </w:tc>
        <w:tc>
          <w:tcPr>
            <w:tcW w:w="1011" w:type="dxa"/>
            <w:vAlign w:val="center"/>
          </w:tcPr>
          <w:p w:rsidR="00126779" w:rsidRPr="00BB304D" w:rsidRDefault="00126779" w:rsidP="00126779">
            <w:pPr>
              <w:jc w:val="right"/>
              <w:rPr>
                <w:rFonts w:cs="Calibri"/>
                <w:color w:val="000000"/>
                <w:sz w:val="20"/>
                <w:szCs w:val="20"/>
              </w:rPr>
            </w:pPr>
            <w:r w:rsidRPr="00BB304D">
              <w:rPr>
                <w:rFonts w:cs="Calibri"/>
                <w:color w:val="000000"/>
                <w:sz w:val="20"/>
                <w:szCs w:val="20"/>
              </w:rPr>
              <w:t>38</w:t>
            </w:r>
          </w:p>
        </w:tc>
        <w:tc>
          <w:tcPr>
            <w:tcW w:w="2169" w:type="dxa"/>
          </w:tcPr>
          <w:p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(Existing college campus)</w:t>
            </w:r>
          </w:p>
        </w:tc>
      </w:tr>
    </w:tbl>
    <w:p w:rsidR="00126779" w:rsidRPr="00351DD4" w:rsidRDefault="00126779" w:rsidP="00126779">
      <w:pPr>
        <w:autoSpaceDE w:val="0"/>
        <w:autoSpaceDN w:val="0"/>
        <w:adjustRightInd w:val="0"/>
        <w:spacing w:after="120" w:line="276" w:lineRule="auto"/>
        <w:ind w:left="360" w:right="-45"/>
        <w:jc w:val="center"/>
        <w:rPr>
          <w:rFonts w:asciiTheme="minorHAnsi" w:hAnsiTheme="minorHAnsi" w:cstheme="minorHAnsi"/>
          <w:sz w:val="20"/>
          <w:szCs w:val="20"/>
        </w:rPr>
      </w:pPr>
      <w:r w:rsidRPr="00351DD4">
        <w:rPr>
          <w:rFonts w:eastAsia="Calibri" w:cs="Calibri"/>
          <w:b/>
          <w:color w:val="000000"/>
          <w:sz w:val="20"/>
          <w:szCs w:val="18"/>
        </w:rPr>
        <w:t xml:space="preserve">Table 19: </w:t>
      </w:r>
      <w:r w:rsidRPr="00351DD4">
        <w:rPr>
          <w:rFonts w:asciiTheme="minorHAnsi" w:hAnsiTheme="minorHAnsi" w:cstheme="minorHAnsi"/>
          <w:sz w:val="20"/>
          <w:szCs w:val="20"/>
        </w:rPr>
        <w:t>Planning permissions granted for n</w:t>
      </w:r>
      <w:r>
        <w:rPr>
          <w:rFonts w:asciiTheme="minorHAnsi" w:hAnsiTheme="minorHAnsi" w:cstheme="minorHAnsi"/>
          <w:sz w:val="20"/>
          <w:szCs w:val="20"/>
        </w:rPr>
        <w:t>ew student accommodation 2017/18</w:t>
      </w:r>
    </w:p>
    <w:p w:rsidR="00126779" w:rsidRDefault="00126779" w:rsidP="00126779">
      <w:pPr>
        <w:autoSpaceDE w:val="0"/>
        <w:autoSpaceDN w:val="0"/>
        <w:adjustRightInd w:val="0"/>
        <w:spacing w:after="120" w:line="276" w:lineRule="auto"/>
        <w:ind w:right="-45"/>
        <w:rPr>
          <w:rFonts w:eastAsia="Calibri" w:cs="Calibri"/>
          <w:b/>
          <w:color w:val="000000"/>
          <w:sz w:val="20"/>
          <w:szCs w:val="18"/>
        </w:rPr>
      </w:pPr>
    </w:p>
    <w:p w:rsidR="00E320DD" w:rsidRDefault="00E320DD" w:rsidP="00126779">
      <w:pPr>
        <w:autoSpaceDE w:val="0"/>
        <w:autoSpaceDN w:val="0"/>
        <w:adjustRightInd w:val="0"/>
        <w:spacing w:after="120" w:line="276" w:lineRule="auto"/>
        <w:ind w:right="-45"/>
        <w:rPr>
          <w:rFonts w:eastAsia="Calibri" w:cs="Calibri"/>
          <w:b/>
          <w:color w:val="000000"/>
          <w:sz w:val="20"/>
          <w:szCs w:val="18"/>
        </w:rPr>
      </w:pPr>
    </w:p>
    <w:p w:rsidR="00E320DD" w:rsidRDefault="00E320DD" w:rsidP="00126779">
      <w:pPr>
        <w:autoSpaceDE w:val="0"/>
        <w:autoSpaceDN w:val="0"/>
        <w:adjustRightInd w:val="0"/>
        <w:spacing w:after="120" w:line="276" w:lineRule="auto"/>
        <w:ind w:right="-45"/>
        <w:rPr>
          <w:rFonts w:eastAsia="Calibri" w:cs="Calibri"/>
          <w:b/>
          <w:color w:val="000000"/>
          <w:sz w:val="20"/>
          <w:szCs w:val="18"/>
        </w:rPr>
      </w:pPr>
    </w:p>
    <w:p w:rsidR="00764EC2" w:rsidRDefault="00764EC2" w:rsidP="00126779">
      <w:pPr>
        <w:autoSpaceDE w:val="0"/>
        <w:autoSpaceDN w:val="0"/>
        <w:adjustRightInd w:val="0"/>
        <w:spacing w:after="120" w:line="276" w:lineRule="auto"/>
        <w:ind w:right="-45"/>
        <w:rPr>
          <w:rFonts w:eastAsia="Calibri" w:cs="Calibri"/>
          <w:b/>
          <w:color w:val="000000"/>
          <w:sz w:val="20"/>
          <w:szCs w:val="18"/>
        </w:rPr>
      </w:pPr>
    </w:p>
    <w:p w:rsidR="00764EC2" w:rsidRPr="00351DD4" w:rsidRDefault="00764EC2" w:rsidP="00126779">
      <w:pPr>
        <w:autoSpaceDE w:val="0"/>
        <w:autoSpaceDN w:val="0"/>
        <w:adjustRightInd w:val="0"/>
        <w:spacing w:after="120" w:line="276" w:lineRule="auto"/>
        <w:ind w:right="-45"/>
        <w:rPr>
          <w:rFonts w:eastAsia="Calibri" w:cs="Calibri"/>
          <w:b/>
          <w:color w:val="000000"/>
          <w:sz w:val="20"/>
          <w:szCs w:val="18"/>
        </w:rPr>
      </w:pPr>
    </w:p>
    <w:bookmarkStart w:id="25" w:name="_Toc529178355"/>
    <w:p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1552" behindDoc="1" locked="0" layoutInCell="1" allowOverlap="1" wp14:anchorId="1653E16C" wp14:editId="2AFBAA94">
                <wp:simplePos x="0" y="0"/>
                <wp:positionH relativeFrom="column">
                  <wp:posOffset>-72390</wp:posOffset>
                </wp:positionH>
                <wp:positionV relativeFrom="paragraph">
                  <wp:posOffset>5080</wp:posOffset>
                </wp:positionV>
                <wp:extent cx="5885180" cy="847725"/>
                <wp:effectExtent l="0" t="0" r="1270" b="9525"/>
                <wp:wrapNone/>
                <wp:docPr id="26" name="Rectangle 26"/>
                <wp:cNvGraphicFramePr/>
                <a:graphic xmlns:a="http://schemas.openxmlformats.org/drawingml/2006/main">
                  <a:graphicData uri="http://schemas.microsoft.com/office/word/2010/wordprocessingShape">
                    <wps:wsp>
                      <wps:cNvSpPr/>
                      <wps:spPr>
                        <a:xfrm>
                          <a:off x="0" y="0"/>
                          <a:ext cx="5885180" cy="8477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D518CD" id="Rectangle 26" o:spid="_x0000_s1026" style="position:absolute;margin-left:-5.7pt;margin-top:.4pt;width:463.4pt;height:6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S8dQIAAOw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" fillcolor="#fcd5b5" stroked="f" strokeweight="2pt"/>
            </w:pict>
          </mc:Fallback>
        </mc:AlternateContent>
      </w:r>
      <w:r w:rsidRPr="00351DD4">
        <w:rPr>
          <w:rFonts w:asciiTheme="minorHAnsi" w:hAnsiTheme="minorHAnsi"/>
          <w:b/>
          <w:lang w:eastAsia="en-GB"/>
        </w:rPr>
        <w:t xml:space="preserve">Indicator 19: HOUSES IN MULTIPLE </w:t>
      </w:r>
      <w:proofErr w:type="gramStart"/>
      <w:r w:rsidRPr="00351DD4">
        <w:rPr>
          <w:rFonts w:asciiTheme="minorHAnsi" w:hAnsiTheme="minorHAnsi"/>
          <w:b/>
          <w:lang w:eastAsia="en-GB"/>
        </w:rPr>
        <w:t>OCCUPATION</w:t>
      </w:r>
      <w:proofErr w:type="gramEnd"/>
      <w:r w:rsidRPr="00351DD4">
        <w:rPr>
          <w:rFonts w:asciiTheme="minorHAnsi" w:hAnsiTheme="minorHAnsi"/>
          <w:b/>
          <w:lang w:eastAsia="en-GB"/>
        </w:rPr>
        <w:t xml:space="preserve"> (HMOs)</w:t>
      </w:r>
      <w:bookmarkEnd w:id="25"/>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highlight w:val="yellow"/>
        </w:rPr>
      </w:pPr>
      <w:r w:rsidRPr="00351DD4">
        <w:rPr>
          <w:rFonts w:eastAsia="Calibri" w:cs="Calibri"/>
          <w:b/>
          <w:color w:val="984806" w:themeColor="accent6" w:themeShade="80"/>
          <w:szCs w:val="22"/>
        </w:rPr>
        <w:t>Target: No set target. AMR to include a report on the number of applications determined for the creation of new HMOs within each ward and of these the number approved.</w:t>
      </w:r>
    </w:p>
    <w:p w:rsidR="00126779" w:rsidRPr="00351DD4" w:rsidRDefault="00126779" w:rsidP="00126779">
      <w:pPr>
        <w:autoSpaceDE w:val="0"/>
        <w:autoSpaceDN w:val="0"/>
        <w:adjustRightInd w:val="0"/>
        <w:ind w:firstLine="720"/>
        <w:jc w:val="both"/>
        <w:rPr>
          <w:rFonts w:eastAsia="Calibri" w:cs="Calibri"/>
          <w:b/>
          <w:color w:val="984806" w:themeColor="accent6" w:themeShade="80"/>
          <w:szCs w:val="22"/>
        </w:rPr>
      </w:pPr>
      <w:r w:rsidRPr="00351DD4">
        <w:rPr>
          <w:rFonts w:eastAsia="Calibri" w:cs="Calibri"/>
          <w:color w:val="984806" w:themeColor="accent6" w:themeShade="80"/>
          <w:sz w:val="20"/>
          <w:szCs w:val="22"/>
        </w:rPr>
        <w:t>(Sites and Housing Plan Policy HP7)</w:t>
      </w:r>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Cs w:val="22"/>
        </w:rPr>
      </w:pPr>
    </w:p>
    <w:p w:rsidR="00126779" w:rsidRPr="00351DD4" w:rsidRDefault="00126779" w:rsidP="00126779">
      <w:pPr>
        <w:numPr>
          <w:ilvl w:val="1"/>
          <w:numId w:val="8"/>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351DD4">
        <w:rPr>
          <w:rFonts w:eastAsia="Calibri" w:cs="Times New Roman"/>
          <w:szCs w:val="22"/>
        </w:rPr>
        <w:t xml:space="preserve">A house in multiple </w:t>
      </w:r>
      <w:proofErr w:type="gramStart"/>
      <w:r w:rsidRPr="00351DD4">
        <w:rPr>
          <w:rFonts w:eastAsia="Calibri" w:cs="Times New Roman"/>
          <w:szCs w:val="22"/>
        </w:rPr>
        <w:t>occupation</w:t>
      </w:r>
      <w:proofErr w:type="gramEnd"/>
      <w:r w:rsidRPr="00351DD4">
        <w:rPr>
          <w:rFonts w:eastAsia="Calibri" w:cs="Times New Roman"/>
          <w:szCs w:val="22"/>
        </w:rPr>
        <w:t xml:space="preserve"> (HMO) is a shared house occupied by three or more unrelated individuals, as their only or main residence, who share basic amenities such as a kitchen or bathroom. Shared properties can help to meet housing needs in some areas, although the conversion of family homes to HMOs can lead to a shortfall in family accommodation. </w:t>
      </w:r>
      <w:r w:rsidRPr="00351DD4">
        <w:rPr>
          <w:lang w:val="en"/>
        </w:rPr>
        <w:t>HMOs form an unusually high percentage of housing in Oxford in comparison to other cities of a similar size. It is estimated that 1 in 5 of the resident population live in an HMO.</w:t>
      </w:r>
    </w:p>
    <w:p w:rsidR="00126779" w:rsidRPr="00351DD4" w:rsidRDefault="00126779" w:rsidP="00126779">
      <w:pPr>
        <w:numPr>
          <w:ilvl w:val="1"/>
          <w:numId w:val="8"/>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351DD4">
        <w:t xml:space="preserve">Planning permission is not usually required for the conversion of a C3 dwelling house to a C4 ‘small’ HMO with three to six occupiers. However, on 25 February 2012 the City Council brought into force an </w:t>
      </w:r>
      <w:hyperlink r:id="rId25" w:history="1">
        <w:r w:rsidRPr="00351DD4">
          <w:rPr>
            <w:color w:val="0000FF"/>
            <w:u w:val="single"/>
          </w:rPr>
          <w:t>Article 4 Direction</w:t>
        </w:r>
      </w:hyperlink>
      <w:r w:rsidRPr="00351DD4">
        <w:t xml:space="preserve"> that means planning permission is required for this change of use in Oxford.  Planning permission is also required for the conversion of a C3 dwelling to a Sui Generis ‘large’ HMO with more than six occupiers. The change of use from a ‘small’ C4 HMO to a ‘large’ Sui Generis HMO also requires planning permission. </w:t>
      </w:r>
    </w:p>
    <w:p w:rsidR="00126779" w:rsidRPr="00351DD4" w:rsidRDefault="00126779" w:rsidP="00126779">
      <w:pPr>
        <w:numPr>
          <w:ilvl w:val="1"/>
          <w:numId w:val="8"/>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351DD4">
        <w:rPr>
          <w:rFonts w:eastAsia="Calibri" w:cs="Times New Roman"/>
          <w:szCs w:val="22"/>
        </w:rPr>
        <w:t xml:space="preserve">There is no Local Plan target for </w:t>
      </w:r>
      <w:proofErr w:type="gramStart"/>
      <w:r w:rsidRPr="00351DD4">
        <w:rPr>
          <w:rFonts w:eastAsia="Calibri" w:cs="Times New Roman"/>
          <w:szCs w:val="22"/>
        </w:rPr>
        <w:t>HMOs,</w:t>
      </w:r>
      <w:proofErr w:type="gramEnd"/>
      <w:r w:rsidRPr="00351DD4">
        <w:rPr>
          <w:rFonts w:eastAsia="Calibri" w:cs="Times New Roman"/>
          <w:szCs w:val="22"/>
        </w:rPr>
        <w:t xml:space="preserve"> however the AMR is required to report on the number of planning applications for new HMOs that are determined and approved during the monitoring year (Table 20).</w:t>
      </w:r>
    </w:p>
    <w:p w:rsidR="00126779" w:rsidRPr="00351DD4" w:rsidRDefault="00126779" w:rsidP="00126779">
      <w:pPr>
        <w:autoSpaceDE w:val="0"/>
        <w:autoSpaceDN w:val="0"/>
        <w:adjustRightInd w:val="0"/>
        <w:spacing w:after="120" w:line="276" w:lineRule="auto"/>
        <w:ind w:right="-45"/>
        <w:jc w:val="both"/>
        <w:rPr>
          <w:rFonts w:eastAsia="Calibri" w:cs="Times New Roman"/>
          <w:szCs w:val="22"/>
        </w:rPr>
      </w:pPr>
    </w:p>
    <w:p w:rsidR="00126779" w:rsidRDefault="00126779" w:rsidP="00126779">
      <w:pPr>
        <w:autoSpaceDE w:val="0"/>
        <w:autoSpaceDN w:val="0"/>
        <w:adjustRightInd w:val="0"/>
        <w:spacing w:after="120" w:line="276" w:lineRule="auto"/>
        <w:ind w:right="-45"/>
        <w:jc w:val="both"/>
        <w:rPr>
          <w:rFonts w:eastAsia="Calibri" w:cs="Times New Roman"/>
          <w:szCs w:val="22"/>
        </w:rPr>
      </w:pPr>
    </w:p>
    <w:p w:rsidR="00126779" w:rsidRDefault="00126779" w:rsidP="00126779">
      <w:pPr>
        <w:autoSpaceDE w:val="0"/>
        <w:autoSpaceDN w:val="0"/>
        <w:adjustRightInd w:val="0"/>
        <w:spacing w:after="120" w:line="276" w:lineRule="auto"/>
        <w:ind w:right="-45"/>
        <w:jc w:val="both"/>
        <w:rPr>
          <w:rFonts w:eastAsia="Calibri" w:cs="Times New Roman"/>
          <w:szCs w:val="22"/>
        </w:rPr>
        <w:sectPr w:rsidR="00126779">
          <w:pgSz w:w="11906" w:h="16838"/>
          <w:pgMar w:top="1440" w:right="1440" w:bottom="1440" w:left="1440" w:header="708" w:footer="708" w:gutter="0"/>
          <w:cols w:space="708"/>
          <w:docGrid w:linePitch="360"/>
        </w:sectPr>
      </w:pPr>
    </w:p>
    <w:p w:rsidR="00126779" w:rsidRPr="00351DD4" w:rsidRDefault="00126779" w:rsidP="00126779">
      <w:pPr>
        <w:autoSpaceDE w:val="0"/>
        <w:autoSpaceDN w:val="0"/>
        <w:adjustRightInd w:val="0"/>
        <w:spacing w:after="120" w:line="276" w:lineRule="auto"/>
        <w:ind w:right="-45"/>
        <w:jc w:val="both"/>
        <w:rPr>
          <w:rFonts w:eastAsia="Calibri" w:cs="Calibri"/>
          <w:color w:val="984806" w:themeColor="accent6" w:themeShade="80"/>
          <w:szCs w:val="22"/>
        </w:rPr>
      </w:pPr>
    </w:p>
    <w:tbl>
      <w:tblPr>
        <w:tblStyle w:val="TableGrid112"/>
        <w:tblW w:w="8364"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60"/>
        <w:gridCol w:w="1134"/>
        <w:gridCol w:w="1134"/>
        <w:gridCol w:w="1134"/>
        <w:gridCol w:w="1134"/>
        <w:gridCol w:w="1134"/>
        <w:gridCol w:w="1134"/>
      </w:tblGrid>
      <w:tr w:rsidR="00126779" w:rsidRPr="00351DD4" w:rsidTr="00126779">
        <w:trPr>
          <w:jc w:val="center"/>
        </w:trPr>
        <w:tc>
          <w:tcPr>
            <w:tcW w:w="1560" w:type="dxa"/>
            <w:shd w:val="clear" w:color="auto" w:fill="FBD4B4" w:themeFill="accent6" w:themeFillTint="66"/>
            <w:vAlign w:val="center"/>
          </w:tcPr>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Ward</w:t>
            </w:r>
          </w:p>
        </w:tc>
        <w:tc>
          <w:tcPr>
            <w:tcW w:w="1134" w:type="dxa"/>
            <w:shd w:val="clear" w:color="auto" w:fill="FBD4B4" w:themeFill="accent6" w:themeFillTint="66"/>
          </w:tcPr>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 determined 2015/16</w:t>
            </w:r>
          </w:p>
        </w:tc>
        <w:tc>
          <w:tcPr>
            <w:tcW w:w="1134" w:type="dxa"/>
            <w:shd w:val="clear" w:color="auto" w:fill="FBD4B4" w:themeFill="accent6" w:themeFillTint="66"/>
          </w:tcPr>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w:t>
            </w:r>
          </w:p>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approved 2015/16</w:t>
            </w:r>
          </w:p>
        </w:tc>
        <w:tc>
          <w:tcPr>
            <w:tcW w:w="1134" w:type="dxa"/>
            <w:shd w:val="clear" w:color="auto" w:fill="FBD4B4" w:themeFill="accent6" w:themeFillTint="66"/>
          </w:tcPr>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 determined 2016/17</w:t>
            </w:r>
          </w:p>
        </w:tc>
        <w:tc>
          <w:tcPr>
            <w:tcW w:w="1134" w:type="dxa"/>
            <w:shd w:val="clear" w:color="auto" w:fill="FBD4B4" w:themeFill="accent6" w:themeFillTint="66"/>
          </w:tcPr>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w:t>
            </w:r>
          </w:p>
          <w:p w:rsidR="00126779" w:rsidRPr="00351DD4" w:rsidRDefault="00126779" w:rsidP="00126779">
            <w:pPr>
              <w:jc w:val="center"/>
              <w:rPr>
                <w:rFonts w:cstheme="minorHAnsi"/>
                <w:b/>
                <w:color w:val="262626" w:themeColor="text1" w:themeTint="D9"/>
                <w:sz w:val="16"/>
                <w:szCs w:val="18"/>
              </w:rPr>
            </w:pPr>
            <w:r w:rsidRPr="00351DD4">
              <w:rPr>
                <w:rFonts w:cstheme="minorHAnsi"/>
                <w:b/>
                <w:color w:val="262626" w:themeColor="text1" w:themeTint="D9"/>
                <w:sz w:val="16"/>
                <w:szCs w:val="18"/>
              </w:rPr>
              <w:t>approved 2016/17</w:t>
            </w:r>
          </w:p>
        </w:tc>
        <w:tc>
          <w:tcPr>
            <w:tcW w:w="1134" w:type="dxa"/>
            <w:shd w:val="clear" w:color="auto" w:fill="FBD4B4" w:themeFill="accent6" w:themeFillTint="66"/>
          </w:tcPr>
          <w:p w:rsidR="00126779" w:rsidRDefault="00126779" w:rsidP="00126779">
            <w:pPr>
              <w:jc w:val="center"/>
              <w:rPr>
                <w:rFonts w:cstheme="minorHAnsi"/>
                <w:b/>
                <w:color w:val="262626" w:themeColor="text1" w:themeTint="D9"/>
                <w:sz w:val="16"/>
                <w:szCs w:val="18"/>
              </w:rPr>
            </w:pPr>
            <w:r>
              <w:rPr>
                <w:rFonts w:cstheme="minorHAnsi"/>
                <w:b/>
                <w:color w:val="262626" w:themeColor="text1" w:themeTint="D9"/>
                <w:sz w:val="16"/>
                <w:szCs w:val="18"/>
              </w:rPr>
              <w:t>HMO</w:t>
            </w:r>
          </w:p>
          <w:p w:rsidR="00126779" w:rsidRPr="00034816" w:rsidRDefault="00126779" w:rsidP="00126779">
            <w:pPr>
              <w:jc w:val="center"/>
              <w:rPr>
                <w:rFonts w:cstheme="minorHAnsi"/>
                <w:b/>
                <w:color w:val="262626" w:themeColor="text1" w:themeTint="D9"/>
                <w:sz w:val="16"/>
                <w:szCs w:val="18"/>
              </w:rPr>
            </w:pPr>
            <w:r>
              <w:rPr>
                <w:rFonts w:cstheme="minorHAnsi"/>
                <w:b/>
                <w:color w:val="262626" w:themeColor="text1" w:themeTint="D9"/>
                <w:sz w:val="16"/>
                <w:szCs w:val="18"/>
              </w:rPr>
              <w:t>Applications determined 2017/2018</w:t>
            </w:r>
          </w:p>
        </w:tc>
        <w:tc>
          <w:tcPr>
            <w:tcW w:w="1134" w:type="dxa"/>
            <w:shd w:val="clear" w:color="auto" w:fill="FBD4B4" w:themeFill="accent6" w:themeFillTint="66"/>
          </w:tcPr>
          <w:p w:rsidR="00126779" w:rsidRPr="00034816" w:rsidRDefault="00126779" w:rsidP="00126779">
            <w:pPr>
              <w:jc w:val="center"/>
              <w:rPr>
                <w:rFonts w:cstheme="minorHAnsi"/>
                <w:b/>
                <w:color w:val="262626" w:themeColor="text1" w:themeTint="D9"/>
                <w:sz w:val="16"/>
                <w:szCs w:val="18"/>
              </w:rPr>
            </w:pPr>
            <w:r>
              <w:rPr>
                <w:rFonts w:cstheme="minorHAnsi"/>
                <w:b/>
                <w:color w:val="262626" w:themeColor="text1" w:themeTint="D9"/>
                <w:sz w:val="16"/>
                <w:szCs w:val="18"/>
              </w:rPr>
              <w:t>HMO applications approved 2017/2018</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Barton and </w:t>
            </w:r>
            <w:proofErr w:type="spellStart"/>
            <w:r w:rsidRPr="00351DD4">
              <w:rPr>
                <w:rFonts w:asciiTheme="minorHAnsi" w:hAnsiTheme="minorHAnsi" w:cstheme="minorHAnsi"/>
                <w:color w:val="262626" w:themeColor="text1" w:themeTint="D9"/>
                <w:sz w:val="20"/>
                <w:szCs w:val="20"/>
              </w:rPr>
              <w:t>Sandhills</w:t>
            </w:r>
            <w:proofErr w:type="spellEnd"/>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7</w:t>
            </w:r>
          </w:p>
        </w:tc>
        <w:tc>
          <w:tcPr>
            <w:tcW w:w="1134" w:type="dxa"/>
            <w:shd w:val="clear" w:color="auto" w:fill="FDE9D9" w:themeFill="accent6" w:themeFillTint="33"/>
          </w:tcPr>
          <w:p w:rsidR="00126779" w:rsidRPr="00034816" w:rsidRDefault="00126779" w:rsidP="00126779">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Blackbird Leys</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Carfax</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Churchill</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15</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12</w:t>
            </w:r>
          </w:p>
        </w:tc>
        <w:tc>
          <w:tcPr>
            <w:tcW w:w="1134" w:type="dxa"/>
            <w:shd w:val="clear" w:color="auto" w:fill="FDE9D9" w:themeFill="accent6" w:themeFillTint="33"/>
          </w:tcPr>
          <w:p w:rsidR="00126779" w:rsidRPr="00034816" w:rsidRDefault="00126779" w:rsidP="00126779">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Cowley</w:t>
            </w:r>
            <w:proofErr w:type="spellEnd"/>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Cowley</w:t>
            </w:r>
            <w:proofErr w:type="spellEnd"/>
            <w:r w:rsidRPr="00351DD4">
              <w:rPr>
                <w:rFonts w:asciiTheme="minorHAnsi" w:hAnsiTheme="minorHAnsi" w:cstheme="minorHAnsi"/>
                <w:color w:val="262626" w:themeColor="text1" w:themeTint="D9"/>
                <w:sz w:val="20"/>
                <w:szCs w:val="20"/>
              </w:rPr>
              <w:t xml:space="preserve"> Marsh</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Headington</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11</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Headington Hill and Northway</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Hinksey</w:t>
            </w:r>
            <w:proofErr w:type="spellEnd"/>
            <w:r w:rsidRPr="00351DD4">
              <w:rPr>
                <w:rFonts w:asciiTheme="minorHAnsi" w:hAnsiTheme="minorHAnsi" w:cstheme="minorHAnsi"/>
                <w:color w:val="262626" w:themeColor="text1" w:themeTint="D9"/>
                <w:sz w:val="20"/>
                <w:szCs w:val="20"/>
              </w:rPr>
              <w:t xml:space="preserve"> Park</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Holywell</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Iffley</w:t>
            </w:r>
            <w:proofErr w:type="spellEnd"/>
            <w:r w:rsidRPr="00351DD4">
              <w:rPr>
                <w:rFonts w:asciiTheme="minorHAnsi" w:hAnsiTheme="minorHAnsi" w:cstheme="minorHAnsi"/>
                <w:color w:val="262626" w:themeColor="text1" w:themeTint="D9"/>
                <w:sz w:val="20"/>
                <w:szCs w:val="20"/>
              </w:rPr>
              <w:t xml:space="preserve"> Fields</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Jericho &amp; </w:t>
            </w:r>
            <w:proofErr w:type="spellStart"/>
            <w:r w:rsidRPr="00351DD4">
              <w:rPr>
                <w:rFonts w:asciiTheme="minorHAnsi" w:hAnsiTheme="minorHAnsi" w:cstheme="minorHAnsi"/>
                <w:color w:val="262626" w:themeColor="text1" w:themeTint="D9"/>
                <w:sz w:val="20"/>
                <w:szCs w:val="20"/>
              </w:rPr>
              <w:t>Osney</w:t>
            </w:r>
            <w:proofErr w:type="spellEnd"/>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6</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Littlemore</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rsidR="00126779" w:rsidRPr="00034816" w:rsidRDefault="00126779" w:rsidP="00126779">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Lye Valley</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15</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13</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Marston</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North</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126779" w:rsidRPr="00351DD4" w:rsidRDefault="00126779" w:rsidP="00126779">
            <w:pPr>
              <w:tabs>
                <w:tab w:val="left" w:pos="320"/>
                <w:tab w:val="center" w:pos="459"/>
              </w:tabs>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Northfield Brook</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Quarry &amp; </w:t>
            </w:r>
            <w:proofErr w:type="spellStart"/>
            <w:r w:rsidRPr="00351DD4">
              <w:rPr>
                <w:rFonts w:asciiTheme="minorHAnsi" w:hAnsiTheme="minorHAnsi" w:cstheme="minorHAnsi"/>
                <w:color w:val="262626" w:themeColor="text1" w:themeTint="D9"/>
                <w:sz w:val="20"/>
                <w:szCs w:val="20"/>
              </w:rPr>
              <w:t>Risinghurst</w:t>
            </w:r>
            <w:proofErr w:type="spellEnd"/>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Rose Hill and </w:t>
            </w:r>
            <w:proofErr w:type="spellStart"/>
            <w:r w:rsidRPr="00351DD4">
              <w:rPr>
                <w:rFonts w:asciiTheme="minorHAnsi" w:hAnsiTheme="minorHAnsi" w:cstheme="minorHAnsi"/>
                <w:color w:val="262626" w:themeColor="text1" w:themeTint="D9"/>
                <w:sz w:val="20"/>
                <w:szCs w:val="20"/>
              </w:rPr>
              <w:t>Iffley</w:t>
            </w:r>
            <w:proofErr w:type="spellEnd"/>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rsidR="00126779"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p w:rsidR="00126779" w:rsidRPr="00D2329F" w:rsidRDefault="00126779" w:rsidP="00126779">
            <w:pPr>
              <w:rPr>
                <w:rFonts w:asciiTheme="minorHAnsi" w:hAnsiTheme="minorHAnsi" w:cstheme="minorHAnsi"/>
                <w:sz w:val="20"/>
                <w:szCs w:val="20"/>
              </w:rPr>
            </w:pP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St. Clements</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EEECE1" w:themeFill="background2"/>
            <w:vAlign w:val="center"/>
          </w:tcPr>
          <w:p w:rsidR="00126779" w:rsidRPr="00351DD4" w:rsidRDefault="00126779" w:rsidP="00126779">
            <w:pPr>
              <w:tabs>
                <w:tab w:val="left" w:pos="340"/>
                <w:tab w:val="center" w:pos="459"/>
              </w:tabs>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St. Margaret’s</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St. Mary’s</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tabs>
                <w:tab w:val="left" w:pos="340"/>
                <w:tab w:val="center" w:pos="459"/>
              </w:tabs>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126779" w:rsidRPr="00351DD4" w:rsidTr="00126779">
        <w:trPr>
          <w:trHeight w:val="70"/>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Summertown</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126779" w:rsidRPr="00351DD4" w:rsidTr="00126779">
        <w:trPr>
          <w:jc w:val="center"/>
        </w:trPr>
        <w:tc>
          <w:tcPr>
            <w:tcW w:w="1560" w:type="dxa"/>
            <w:shd w:val="clear" w:color="auto" w:fill="FFFFFF" w:themeFill="background1"/>
          </w:tcPr>
          <w:p w:rsidR="00126779" w:rsidRPr="00351DD4" w:rsidRDefault="00126779" w:rsidP="00126779">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Wolvercote</w:t>
            </w:r>
            <w:proofErr w:type="spellEnd"/>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FFFFF" w:themeFill="background1"/>
            <w:vAlign w:val="center"/>
          </w:tcPr>
          <w:p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rsidR="00126779" w:rsidRPr="00034816"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126779" w:rsidRPr="00351DD4" w:rsidTr="00126779">
        <w:trPr>
          <w:jc w:val="center"/>
        </w:trPr>
        <w:tc>
          <w:tcPr>
            <w:tcW w:w="1560" w:type="dxa"/>
            <w:shd w:val="clear" w:color="auto" w:fill="FBD4B4" w:themeFill="accent6" w:themeFillTint="66"/>
          </w:tcPr>
          <w:p w:rsidR="00126779" w:rsidRPr="00351DD4" w:rsidRDefault="00126779" w:rsidP="00126779">
            <w:pPr>
              <w:jc w:val="center"/>
              <w:rPr>
                <w:rFonts w:cstheme="minorHAnsi"/>
                <w:b/>
                <w:color w:val="262626" w:themeColor="text1" w:themeTint="D9"/>
                <w:sz w:val="18"/>
              </w:rPr>
            </w:pPr>
            <w:r w:rsidRPr="00351DD4">
              <w:rPr>
                <w:rFonts w:cstheme="minorHAnsi"/>
                <w:b/>
                <w:color w:val="262626" w:themeColor="text1" w:themeTint="D9"/>
                <w:sz w:val="18"/>
              </w:rPr>
              <w:t>Total</w:t>
            </w:r>
          </w:p>
        </w:tc>
        <w:tc>
          <w:tcPr>
            <w:tcW w:w="1134" w:type="dxa"/>
            <w:shd w:val="clear" w:color="auto" w:fill="FBD4B4" w:themeFill="accent6" w:themeFillTint="66"/>
          </w:tcPr>
          <w:p w:rsidR="00126779" w:rsidRPr="00351DD4" w:rsidRDefault="00126779" w:rsidP="00126779">
            <w:pPr>
              <w:jc w:val="center"/>
              <w:rPr>
                <w:rFonts w:cstheme="minorHAnsi"/>
                <w:b/>
                <w:color w:val="262626" w:themeColor="text1" w:themeTint="D9"/>
                <w:sz w:val="18"/>
              </w:rPr>
            </w:pPr>
            <w:r w:rsidRPr="00351DD4">
              <w:rPr>
                <w:rFonts w:cstheme="minorHAnsi"/>
                <w:b/>
                <w:color w:val="262626" w:themeColor="text1" w:themeTint="D9"/>
                <w:sz w:val="18"/>
              </w:rPr>
              <w:fldChar w:fldCharType="begin"/>
            </w:r>
            <w:r w:rsidRPr="00351DD4">
              <w:rPr>
                <w:rFonts w:cstheme="minorHAnsi"/>
                <w:b/>
                <w:color w:val="262626" w:themeColor="text1" w:themeTint="D9"/>
                <w:sz w:val="18"/>
              </w:rPr>
              <w:instrText xml:space="preserve"> =SUM(ABOVE) </w:instrText>
            </w:r>
            <w:r w:rsidRPr="00351DD4">
              <w:rPr>
                <w:rFonts w:cstheme="minorHAnsi"/>
                <w:b/>
                <w:color w:val="262626" w:themeColor="text1" w:themeTint="D9"/>
                <w:sz w:val="18"/>
              </w:rPr>
              <w:fldChar w:fldCharType="separate"/>
            </w:r>
            <w:r w:rsidRPr="00351DD4">
              <w:rPr>
                <w:rFonts w:cstheme="minorHAnsi"/>
                <w:b/>
                <w:noProof/>
                <w:color w:val="262626" w:themeColor="text1" w:themeTint="D9"/>
                <w:sz w:val="18"/>
              </w:rPr>
              <w:t>96</w:t>
            </w:r>
            <w:r w:rsidRPr="00351DD4">
              <w:rPr>
                <w:rFonts w:cstheme="minorHAnsi"/>
                <w:b/>
                <w:color w:val="262626" w:themeColor="text1" w:themeTint="D9"/>
                <w:sz w:val="18"/>
              </w:rPr>
              <w:fldChar w:fldCharType="end"/>
            </w:r>
          </w:p>
        </w:tc>
        <w:tc>
          <w:tcPr>
            <w:tcW w:w="1134" w:type="dxa"/>
            <w:shd w:val="clear" w:color="auto" w:fill="FBD4B4" w:themeFill="accent6" w:themeFillTint="66"/>
          </w:tcPr>
          <w:p w:rsidR="00126779" w:rsidRPr="00351DD4" w:rsidRDefault="00126779" w:rsidP="00126779">
            <w:pPr>
              <w:jc w:val="center"/>
              <w:rPr>
                <w:rFonts w:cstheme="minorHAnsi"/>
                <w:b/>
                <w:color w:val="262626" w:themeColor="text1" w:themeTint="D9"/>
                <w:sz w:val="18"/>
              </w:rPr>
            </w:pPr>
            <w:r w:rsidRPr="00351DD4">
              <w:rPr>
                <w:rFonts w:cstheme="minorHAnsi"/>
                <w:b/>
                <w:color w:val="262626" w:themeColor="text1" w:themeTint="D9"/>
                <w:sz w:val="18"/>
              </w:rPr>
              <w:fldChar w:fldCharType="begin"/>
            </w:r>
            <w:r w:rsidRPr="00351DD4">
              <w:rPr>
                <w:rFonts w:cstheme="minorHAnsi"/>
                <w:b/>
                <w:color w:val="262626" w:themeColor="text1" w:themeTint="D9"/>
                <w:sz w:val="18"/>
              </w:rPr>
              <w:instrText xml:space="preserve"> =SUM(ABOVE) </w:instrText>
            </w:r>
            <w:r w:rsidRPr="00351DD4">
              <w:rPr>
                <w:rFonts w:cstheme="minorHAnsi"/>
                <w:b/>
                <w:color w:val="262626" w:themeColor="text1" w:themeTint="D9"/>
                <w:sz w:val="18"/>
              </w:rPr>
              <w:fldChar w:fldCharType="separate"/>
            </w:r>
            <w:r w:rsidRPr="00351DD4">
              <w:rPr>
                <w:rFonts w:cstheme="minorHAnsi"/>
                <w:b/>
                <w:noProof/>
                <w:color w:val="262626" w:themeColor="text1" w:themeTint="D9"/>
                <w:sz w:val="18"/>
              </w:rPr>
              <w:t>78</w:t>
            </w:r>
            <w:r w:rsidRPr="00351DD4">
              <w:rPr>
                <w:rFonts w:cstheme="minorHAnsi"/>
                <w:b/>
                <w:color w:val="262626" w:themeColor="text1" w:themeTint="D9"/>
                <w:sz w:val="18"/>
              </w:rPr>
              <w:fldChar w:fldCharType="end"/>
            </w:r>
            <w:r w:rsidRPr="00351DD4">
              <w:rPr>
                <w:rFonts w:cstheme="minorHAnsi"/>
                <w:b/>
                <w:color w:val="262626" w:themeColor="text1" w:themeTint="D9"/>
                <w:sz w:val="18"/>
              </w:rPr>
              <w:t xml:space="preserve"> </w:t>
            </w:r>
            <w:r w:rsidRPr="00351DD4">
              <w:rPr>
                <w:rFonts w:cstheme="minorHAnsi"/>
                <w:color w:val="262626" w:themeColor="text1" w:themeTint="D9"/>
                <w:sz w:val="18"/>
              </w:rPr>
              <w:t>(81%)</w:t>
            </w:r>
          </w:p>
        </w:tc>
        <w:tc>
          <w:tcPr>
            <w:tcW w:w="1134" w:type="dxa"/>
            <w:shd w:val="clear" w:color="auto" w:fill="FBD4B4" w:themeFill="accent6" w:themeFillTint="66"/>
          </w:tcPr>
          <w:p w:rsidR="00126779" w:rsidRPr="00351DD4" w:rsidRDefault="00126779" w:rsidP="00126779">
            <w:pPr>
              <w:jc w:val="center"/>
              <w:rPr>
                <w:b/>
                <w:color w:val="262626" w:themeColor="text1" w:themeTint="D9"/>
                <w:sz w:val="18"/>
              </w:rPr>
            </w:pPr>
            <w:r w:rsidRPr="00351DD4">
              <w:rPr>
                <w:rFonts w:cstheme="minorHAnsi"/>
                <w:b/>
                <w:color w:val="262626" w:themeColor="text1" w:themeTint="D9"/>
                <w:sz w:val="18"/>
              </w:rPr>
              <w:t>119</w:t>
            </w:r>
          </w:p>
        </w:tc>
        <w:tc>
          <w:tcPr>
            <w:tcW w:w="1134" w:type="dxa"/>
            <w:shd w:val="clear" w:color="auto" w:fill="FBD4B4" w:themeFill="accent6" w:themeFillTint="66"/>
          </w:tcPr>
          <w:p w:rsidR="00126779" w:rsidRPr="00351DD4" w:rsidRDefault="00126779" w:rsidP="00126779">
            <w:pPr>
              <w:jc w:val="center"/>
              <w:rPr>
                <w:rFonts w:cstheme="minorHAnsi"/>
                <w:color w:val="262626" w:themeColor="text1" w:themeTint="D9"/>
                <w:sz w:val="18"/>
              </w:rPr>
            </w:pPr>
            <w:r w:rsidRPr="00351DD4">
              <w:rPr>
                <w:rFonts w:cstheme="minorHAnsi"/>
                <w:b/>
                <w:color w:val="262626" w:themeColor="text1" w:themeTint="D9"/>
                <w:sz w:val="18"/>
              </w:rPr>
              <w:t>92</w:t>
            </w:r>
            <w:r w:rsidRPr="00351DD4">
              <w:rPr>
                <w:rFonts w:cstheme="minorHAnsi"/>
                <w:color w:val="262626" w:themeColor="text1" w:themeTint="D9"/>
                <w:sz w:val="18"/>
              </w:rPr>
              <w:t xml:space="preserve"> (77%)</w:t>
            </w:r>
          </w:p>
        </w:tc>
        <w:tc>
          <w:tcPr>
            <w:tcW w:w="1134" w:type="dxa"/>
            <w:shd w:val="clear" w:color="auto" w:fill="FBD4B4" w:themeFill="accent6" w:themeFillTint="66"/>
          </w:tcPr>
          <w:p w:rsidR="00126779" w:rsidRPr="00764EC2" w:rsidRDefault="00126779" w:rsidP="00126779">
            <w:pPr>
              <w:jc w:val="center"/>
              <w:rPr>
                <w:rFonts w:cstheme="minorHAnsi"/>
                <w:b/>
                <w:color w:val="262626" w:themeColor="text1" w:themeTint="D9"/>
                <w:sz w:val="18"/>
              </w:rPr>
            </w:pPr>
            <w:r w:rsidRPr="00764EC2">
              <w:rPr>
                <w:rFonts w:cstheme="minorHAnsi"/>
                <w:b/>
                <w:color w:val="262626" w:themeColor="text1" w:themeTint="D9"/>
                <w:sz w:val="18"/>
              </w:rPr>
              <w:t>90 permitted c4 +23 refused (c4) + 3 permitted (sui gen)6 refused (sui gen)</w:t>
            </w:r>
          </w:p>
          <w:p w:rsidR="00126779" w:rsidRPr="00764EC2" w:rsidRDefault="00126779" w:rsidP="00126779">
            <w:pPr>
              <w:jc w:val="center"/>
              <w:rPr>
                <w:rFonts w:cstheme="minorHAnsi"/>
                <w:b/>
                <w:color w:val="262626" w:themeColor="text1" w:themeTint="D9"/>
                <w:sz w:val="18"/>
              </w:rPr>
            </w:pPr>
            <w:r w:rsidRPr="00764EC2">
              <w:rPr>
                <w:rFonts w:cstheme="minorHAnsi"/>
                <w:b/>
                <w:color w:val="262626" w:themeColor="text1" w:themeTint="D9"/>
                <w:sz w:val="18"/>
              </w:rPr>
              <w:t xml:space="preserve">TOTAL 122 </w:t>
            </w:r>
          </w:p>
        </w:tc>
        <w:tc>
          <w:tcPr>
            <w:tcW w:w="1134" w:type="dxa"/>
            <w:shd w:val="clear" w:color="auto" w:fill="FBD4B4" w:themeFill="accent6" w:themeFillTint="66"/>
          </w:tcPr>
          <w:p w:rsidR="00126779" w:rsidRPr="00764EC2" w:rsidRDefault="00126779" w:rsidP="00126779">
            <w:pPr>
              <w:jc w:val="center"/>
              <w:rPr>
                <w:rFonts w:cstheme="minorHAnsi"/>
                <w:b/>
                <w:color w:val="262626" w:themeColor="text1" w:themeTint="D9"/>
                <w:sz w:val="18"/>
              </w:rPr>
            </w:pPr>
            <w:r w:rsidRPr="00764EC2">
              <w:rPr>
                <w:rFonts w:cstheme="minorHAnsi"/>
                <w:b/>
                <w:color w:val="262626" w:themeColor="text1" w:themeTint="D9"/>
                <w:sz w:val="18"/>
              </w:rPr>
              <w:t>90 (c4) + 3 (sui gen) TOTAL 93 (66%)</w:t>
            </w:r>
          </w:p>
        </w:tc>
      </w:tr>
    </w:tbl>
    <w:p w:rsidR="00126779" w:rsidRDefault="00126779" w:rsidP="00126779">
      <w:pPr>
        <w:autoSpaceDE w:val="0"/>
        <w:autoSpaceDN w:val="0"/>
        <w:adjustRightInd w:val="0"/>
        <w:spacing w:after="120" w:line="276" w:lineRule="auto"/>
        <w:ind w:left="360" w:right="-45"/>
        <w:jc w:val="center"/>
        <w:rPr>
          <w:rFonts w:asciiTheme="minorHAnsi" w:hAnsiTheme="minorHAnsi" w:cstheme="minorHAnsi"/>
          <w:sz w:val="20"/>
          <w:szCs w:val="20"/>
        </w:rPr>
      </w:pPr>
      <w:r w:rsidRPr="00351DD4">
        <w:rPr>
          <w:rFonts w:eastAsia="Calibri" w:cs="Calibri"/>
          <w:b/>
          <w:color w:val="000000"/>
          <w:sz w:val="20"/>
          <w:szCs w:val="18"/>
        </w:rPr>
        <w:t xml:space="preserve">Table 20: </w:t>
      </w:r>
      <w:r w:rsidRPr="00351DD4">
        <w:rPr>
          <w:rFonts w:asciiTheme="minorHAnsi" w:hAnsiTheme="minorHAnsi" w:cstheme="minorHAnsi"/>
          <w:sz w:val="20"/>
          <w:szCs w:val="20"/>
        </w:rPr>
        <w:t>Planning applications for new HMOs determined and approved 201</w:t>
      </w:r>
      <w:r>
        <w:rPr>
          <w:rFonts w:asciiTheme="minorHAnsi" w:hAnsiTheme="minorHAnsi" w:cstheme="minorHAnsi"/>
          <w:sz w:val="20"/>
          <w:szCs w:val="20"/>
        </w:rPr>
        <w:t>5</w:t>
      </w:r>
      <w:r w:rsidRPr="00351DD4">
        <w:rPr>
          <w:rFonts w:asciiTheme="minorHAnsi" w:hAnsiTheme="minorHAnsi" w:cstheme="minorHAnsi"/>
          <w:sz w:val="20"/>
          <w:szCs w:val="20"/>
        </w:rPr>
        <w:t>/1</w:t>
      </w:r>
      <w:r>
        <w:rPr>
          <w:rFonts w:asciiTheme="minorHAnsi" w:hAnsiTheme="minorHAnsi" w:cstheme="minorHAnsi"/>
          <w:sz w:val="20"/>
          <w:szCs w:val="20"/>
        </w:rPr>
        <w:t>6</w:t>
      </w:r>
      <w:r w:rsidRPr="00351DD4">
        <w:rPr>
          <w:rFonts w:asciiTheme="minorHAnsi" w:hAnsiTheme="minorHAnsi" w:cstheme="minorHAnsi"/>
          <w:sz w:val="20"/>
          <w:szCs w:val="20"/>
        </w:rPr>
        <w:t>-201</w:t>
      </w:r>
      <w:r>
        <w:rPr>
          <w:rFonts w:asciiTheme="minorHAnsi" w:hAnsiTheme="minorHAnsi" w:cstheme="minorHAnsi"/>
          <w:sz w:val="20"/>
          <w:szCs w:val="20"/>
        </w:rPr>
        <w:t>7</w:t>
      </w:r>
      <w:r w:rsidRPr="00351DD4">
        <w:rPr>
          <w:rFonts w:asciiTheme="minorHAnsi" w:hAnsiTheme="minorHAnsi" w:cstheme="minorHAnsi"/>
          <w:sz w:val="20"/>
          <w:szCs w:val="20"/>
        </w:rPr>
        <w:t>/1</w:t>
      </w:r>
      <w:r>
        <w:rPr>
          <w:rFonts w:asciiTheme="minorHAnsi" w:hAnsiTheme="minorHAnsi" w:cstheme="minorHAnsi"/>
          <w:sz w:val="20"/>
          <w:szCs w:val="20"/>
        </w:rPr>
        <w:t>8</w:t>
      </w:r>
    </w:p>
    <w:p w:rsidR="00126779" w:rsidRDefault="00126779" w:rsidP="00126779">
      <w:pPr>
        <w:autoSpaceDE w:val="0"/>
        <w:autoSpaceDN w:val="0"/>
        <w:adjustRightInd w:val="0"/>
        <w:spacing w:after="120" w:line="276" w:lineRule="auto"/>
        <w:ind w:left="360" w:right="-45"/>
        <w:jc w:val="both"/>
        <w:rPr>
          <w:rFonts w:eastAsia="Calibri" w:cs="Calibri"/>
          <w:color w:val="984806" w:themeColor="accent6" w:themeShade="80"/>
          <w:szCs w:val="22"/>
        </w:rPr>
        <w:sectPr w:rsidR="00126779" w:rsidSect="00126779">
          <w:pgSz w:w="11906" w:h="16838"/>
          <w:pgMar w:top="1440" w:right="1440" w:bottom="1440" w:left="1440" w:header="708" w:footer="708" w:gutter="0"/>
          <w:cols w:space="708"/>
          <w:docGrid w:linePitch="360"/>
        </w:sectPr>
      </w:pPr>
    </w:p>
    <w:p w:rsidR="00126779" w:rsidRPr="00351DD4" w:rsidRDefault="00126779" w:rsidP="00126779">
      <w:pPr>
        <w:numPr>
          <w:ilvl w:val="1"/>
          <w:numId w:val="8"/>
        </w:numPr>
        <w:autoSpaceDE w:val="0"/>
        <w:autoSpaceDN w:val="0"/>
        <w:adjustRightInd w:val="0"/>
        <w:spacing w:after="240" w:line="276" w:lineRule="auto"/>
        <w:ind w:left="567" w:right="-45" w:hanging="567"/>
        <w:jc w:val="both"/>
        <w:rPr>
          <w:rFonts w:eastAsia="Calibri" w:cs="Calibri"/>
          <w:szCs w:val="22"/>
        </w:rPr>
      </w:pPr>
      <w:r w:rsidRPr="00351DD4">
        <w:rPr>
          <w:rFonts w:eastAsia="Calibri" w:cs="Calibri"/>
          <w:szCs w:val="22"/>
        </w:rPr>
        <w:lastRenderedPageBreak/>
        <w:t>Table 20 shows that the number of planning applications received to create new HMOs has increased significantly since the Sites and Housing Plan was adopted. The City Council has been actively working with HMO landlords to communicate the need for planning permission and therefore some of these applications may be regularising changes of use that have already taken place. The increase in applications may also reflect an increase in demand for this type of accommodation in the city given the high prices in the private rented sector in Oxford.</w:t>
      </w:r>
    </w:p>
    <w:p w:rsidR="00126779" w:rsidRPr="00351DD4" w:rsidRDefault="00126779" w:rsidP="00126779">
      <w:pPr>
        <w:numPr>
          <w:ilvl w:val="1"/>
          <w:numId w:val="8"/>
        </w:numPr>
        <w:autoSpaceDE w:val="0"/>
        <w:autoSpaceDN w:val="0"/>
        <w:adjustRightInd w:val="0"/>
        <w:spacing w:line="276" w:lineRule="auto"/>
        <w:ind w:left="567" w:right="-45" w:hanging="567"/>
        <w:jc w:val="both"/>
        <w:rPr>
          <w:rFonts w:eastAsia="Calibri" w:cs="Calibri"/>
          <w:szCs w:val="22"/>
        </w:rPr>
      </w:pPr>
      <w:r w:rsidRPr="00351DD4">
        <w:rPr>
          <w:rFonts w:eastAsia="Calibri" w:cs="Calibri"/>
          <w:szCs w:val="22"/>
        </w:rPr>
        <w:t xml:space="preserve">Given the exceptionally high concentration of HMOs in Oxford and the fact that HMOs often provide some of the poorest quality housing in the city, all HMO properties in Oxford require a licence. </w:t>
      </w:r>
      <w:r w:rsidRPr="00351DD4">
        <w:rPr>
          <w:rFonts w:eastAsia="Times New Roman"/>
          <w:color w:val="1D2129"/>
          <w:lang w:eastAsia="en-GB"/>
        </w:rPr>
        <w:t>The City Council’s HMO Licensing scheme has received national awards and recognition for its work providing protection for tenants against sub-standard conditions and supporting vigorous enforcement of tenants’ legal rights.</w:t>
      </w:r>
    </w:p>
    <w:p w:rsidR="00126779" w:rsidRPr="00351DD4" w:rsidRDefault="00126779" w:rsidP="00126779">
      <w:pPr>
        <w:autoSpaceDE w:val="0"/>
        <w:autoSpaceDN w:val="0"/>
        <w:adjustRightInd w:val="0"/>
        <w:spacing w:line="276" w:lineRule="auto"/>
        <w:ind w:left="360" w:right="-45"/>
        <w:jc w:val="both"/>
        <w:rPr>
          <w:rFonts w:eastAsia="Times New Roman"/>
          <w:color w:val="1D2129"/>
          <w:lang w:eastAsia="en-GB"/>
        </w:rPr>
      </w:pPr>
    </w:p>
    <w:p w:rsidR="00126779" w:rsidRPr="00351DD4" w:rsidRDefault="00126779" w:rsidP="00126779">
      <w:pPr>
        <w:autoSpaceDE w:val="0"/>
        <w:autoSpaceDN w:val="0"/>
        <w:adjustRightInd w:val="0"/>
        <w:spacing w:line="276" w:lineRule="auto"/>
        <w:ind w:left="567" w:right="-45"/>
        <w:jc w:val="both"/>
        <w:rPr>
          <w:rFonts w:eastAsia="Calibri" w:cs="Calibri"/>
          <w:szCs w:val="22"/>
        </w:rPr>
      </w:pPr>
    </w:p>
    <w:bookmarkStart w:id="26" w:name="_Toc529178356"/>
    <w:p w:rsidR="00126779" w:rsidRPr="00351DD4" w:rsidRDefault="00126779" w:rsidP="00126779">
      <w:pPr>
        <w:outlineLvl w:val="1"/>
        <w:rPr>
          <w:rFonts w:asciiTheme="minorHAnsi" w:hAnsiTheme="minorHAnsi"/>
          <w:b/>
          <w:szCs w:val="22"/>
          <w:lang w:eastAsia="en-GB"/>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72576" behindDoc="1" locked="0" layoutInCell="1" allowOverlap="1" wp14:anchorId="13CBA80A" wp14:editId="06FA4AEC">
                <wp:simplePos x="0" y="0"/>
                <wp:positionH relativeFrom="column">
                  <wp:posOffset>-39757</wp:posOffset>
                </wp:positionH>
                <wp:positionV relativeFrom="paragraph">
                  <wp:posOffset>12037</wp:posOffset>
                </wp:positionV>
                <wp:extent cx="5885180" cy="1669774"/>
                <wp:effectExtent l="0" t="0" r="1270" b="6985"/>
                <wp:wrapNone/>
                <wp:docPr id="27" name="Rectangle 27"/>
                <wp:cNvGraphicFramePr/>
                <a:graphic xmlns:a="http://schemas.openxmlformats.org/drawingml/2006/main">
                  <a:graphicData uri="http://schemas.microsoft.com/office/word/2010/wordprocessingShape">
                    <wps:wsp>
                      <wps:cNvSpPr/>
                      <wps:spPr>
                        <a:xfrm>
                          <a:off x="0" y="0"/>
                          <a:ext cx="5885180" cy="1669774"/>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6E0DC5" id="Rectangle 27" o:spid="_x0000_s1026" style="position:absolute;margin-left:-3.15pt;margin-top:.95pt;width:463.4pt;height: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4edgIAAO0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" fillcolor="#fcd5b5" stroked="f" strokeweight="2pt"/>
            </w:pict>
          </mc:Fallback>
        </mc:AlternateContent>
      </w:r>
      <w:r w:rsidRPr="00351DD4">
        <w:rPr>
          <w:rFonts w:asciiTheme="minorHAnsi" w:hAnsiTheme="minorHAnsi"/>
          <w:b/>
          <w:lang w:eastAsia="en-GB"/>
        </w:rPr>
        <w:t>Indicator 20: RESIDENTIAL MOORINGS</w:t>
      </w:r>
      <w:bookmarkEnd w:id="26"/>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rPr>
      </w:pPr>
      <w:r w:rsidRPr="00351DD4">
        <w:rPr>
          <w:rFonts w:eastAsia="Calibri" w:cs="Calibri"/>
          <w:b/>
          <w:color w:val="984806" w:themeColor="accent6" w:themeShade="80"/>
          <w:szCs w:val="22"/>
        </w:rPr>
        <w:t>Target: Nil applications approved that are subject to an unresolved objection by the body responsible for managing the relevant river channel or waterway.</w:t>
      </w:r>
    </w:p>
    <w:p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color w:val="984806" w:themeColor="accent6" w:themeShade="80"/>
          <w:sz w:val="20"/>
          <w:szCs w:val="22"/>
        </w:rPr>
        <w:t xml:space="preserve"> </w:t>
      </w:r>
      <w:r w:rsidRPr="00351DD4">
        <w:rPr>
          <w:rFonts w:eastAsia="Calibri" w:cs="Calibri"/>
          <w:color w:val="984806" w:themeColor="accent6" w:themeShade="80"/>
          <w:sz w:val="20"/>
          <w:szCs w:val="22"/>
        </w:rPr>
        <w:tab/>
        <w:t>(Sites and Housing Plan Policy HP5)</w:t>
      </w:r>
    </w:p>
    <w:p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1100"/>
        <w:gridCol w:w="2609"/>
      </w:tblGrid>
      <w:tr w:rsidR="00126779" w:rsidRPr="00351DD4" w:rsidTr="00126779">
        <w:trPr>
          <w:trHeight w:val="219"/>
        </w:trPr>
        <w:tc>
          <w:tcPr>
            <w:tcW w:w="5413" w:type="dxa"/>
          </w:tcPr>
          <w:p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Performance against target 201</w:t>
            </w:r>
            <w:r>
              <w:rPr>
                <w:rFonts w:eastAsia="Calibri" w:cs="Calibri"/>
                <w:b/>
                <w:color w:val="984806" w:themeColor="accent6" w:themeShade="80"/>
              </w:rPr>
              <w:t>7</w:t>
            </w:r>
            <w:r w:rsidRPr="00351DD4">
              <w:rPr>
                <w:rFonts w:eastAsia="Calibri" w:cs="Calibri"/>
                <w:b/>
                <w:color w:val="984806" w:themeColor="accent6" w:themeShade="80"/>
              </w:rPr>
              <w:t>/1</w:t>
            </w:r>
            <w:r>
              <w:rPr>
                <w:rFonts w:eastAsia="Calibri" w:cs="Calibri"/>
                <w:b/>
                <w:color w:val="984806" w:themeColor="accent6" w:themeShade="80"/>
              </w:rPr>
              <w:t>8</w:t>
            </w:r>
            <w:r w:rsidRPr="00351DD4">
              <w:rPr>
                <w:rFonts w:eastAsia="Calibri" w:cs="Calibri"/>
                <w:b/>
                <w:color w:val="984806" w:themeColor="accent6" w:themeShade="80"/>
              </w:rPr>
              <w:t>:</w:t>
            </w:r>
          </w:p>
        </w:tc>
        <w:tc>
          <w:tcPr>
            <w:tcW w:w="3709" w:type="dxa"/>
            <w:gridSpan w:val="2"/>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rsidTr="00126779">
        <w:trPr>
          <w:trHeight w:val="501"/>
        </w:trPr>
        <w:tc>
          <w:tcPr>
            <w:tcW w:w="5413" w:type="dxa"/>
            <w:vMerge w:val="restart"/>
          </w:tcPr>
          <w:p w:rsidR="00126779" w:rsidRPr="00351DD4" w:rsidRDefault="00126779" w:rsidP="00126779">
            <w:pPr>
              <w:autoSpaceDE w:val="0"/>
              <w:autoSpaceDN w:val="0"/>
              <w:adjustRightInd w:val="0"/>
              <w:rPr>
                <w:rFonts w:eastAsia="Calibri" w:cs="Calibri"/>
                <w:b/>
                <w:color w:val="984806" w:themeColor="accent6" w:themeShade="80"/>
                <w:sz w:val="16"/>
                <w:szCs w:val="8"/>
              </w:rPr>
            </w:pPr>
          </w:p>
          <w:p w:rsidR="00126779" w:rsidRPr="00351DD4" w:rsidRDefault="00126779" w:rsidP="00126779">
            <w:pPr>
              <w:autoSpaceDE w:val="0"/>
              <w:autoSpaceDN w:val="0"/>
              <w:adjustRightInd w:val="0"/>
              <w:jc w:val="center"/>
              <w:rPr>
                <w:rFonts w:eastAsia="Calibri" w:cs="Calibri"/>
                <w:color w:val="984806" w:themeColor="accent6" w:themeShade="80"/>
                <w:sz w:val="32"/>
              </w:rPr>
            </w:pPr>
            <w:r w:rsidRPr="00351DD4">
              <w:rPr>
                <w:rFonts w:eastAsia="Calibri" w:cs="Calibri"/>
                <w:color w:val="984806" w:themeColor="accent6" w:themeShade="80"/>
              </w:rPr>
              <w:t>N/A</w:t>
            </w:r>
          </w:p>
          <w:p w:rsidR="00126779" w:rsidRPr="00351DD4" w:rsidRDefault="00126779" w:rsidP="00126779">
            <w:pPr>
              <w:autoSpaceDE w:val="0"/>
              <w:autoSpaceDN w:val="0"/>
              <w:adjustRightInd w:val="0"/>
              <w:jc w:val="center"/>
              <w:rPr>
                <w:rFonts w:eastAsia="Calibri" w:cs="Calibri"/>
                <w:b/>
                <w:color w:val="984806" w:themeColor="accent6" w:themeShade="80"/>
                <w:szCs w:val="12"/>
              </w:rPr>
            </w:pPr>
          </w:p>
        </w:tc>
        <w:tc>
          <w:tcPr>
            <w:tcW w:w="1100"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6</w:t>
            </w:r>
            <w:r w:rsidRPr="00351DD4">
              <w:rPr>
                <w:rFonts w:eastAsia="Calibri" w:cs="Calibri"/>
                <w:b/>
                <w:color w:val="984806" w:themeColor="accent6" w:themeShade="80"/>
              </w:rPr>
              <w:t>/1</w:t>
            </w:r>
            <w:r>
              <w:rPr>
                <w:rFonts w:eastAsia="Calibri" w:cs="Calibri"/>
                <w:b/>
                <w:color w:val="984806" w:themeColor="accent6" w:themeShade="80"/>
              </w:rPr>
              <w:t>7</w:t>
            </w:r>
            <w:r w:rsidRPr="00351DD4">
              <w:rPr>
                <w:rFonts w:eastAsia="Calibri" w:cs="Calibri"/>
                <w:b/>
                <w:color w:val="984806" w:themeColor="accent6" w:themeShade="80"/>
              </w:rPr>
              <w:t>:</w:t>
            </w:r>
          </w:p>
        </w:tc>
        <w:tc>
          <w:tcPr>
            <w:tcW w:w="2609" w:type="dxa"/>
          </w:tcPr>
          <w:p w:rsidR="00126779" w:rsidRPr="00351DD4" w:rsidRDefault="00126779" w:rsidP="00126779">
            <w:pPr>
              <w:autoSpaceDE w:val="0"/>
              <w:autoSpaceDN w:val="0"/>
              <w:adjustRightInd w:val="0"/>
              <w:rPr>
                <w:rFonts w:eastAsia="Calibri" w:cs="Calibri"/>
                <w:b/>
                <w:color w:val="984806" w:themeColor="accent6" w:themeShade="80"/>
                <w:sz w:val="8"/>
                <w:szCs w:val="8"/>
              </w:rPr>
            </w:pPr>
          </w:p>
          <w:p w:rsidR="00126779" w:rsidRPr="00351DD4" w:rsidRDefault="00126779" w:rsidP="00126779">
            <w:pPr>
              <w:tabs>
                <w:tab w:val="left" w:pos="717"/>
              </w:tabs>
              <w:autoSpaceDE w:val="0"/>
              <w:autoSpaceDN w:val="0"/>
              <w:adjustRightInd w:val="0"/>
              <w:rPr>
                <w:rFonts w:eastAsia="Calibri" w:cs="Calibri"/>
                <w:color w:val="984806" w:themeColor="accent6" w:themeShade="80"/>
                <w:sz w:val="32"/>
              </w:rPr>
            </w:pPr>
            <w:r w:rsidRPr="00351DD4">
              <w:rPr>
                <w:rFonts w:eastAsia="Calibri" w:cs="Calibri"/>
                <w:color w:val="984806" w:themeColor="accent6" w:themeShade="80"/>
              </w:rPr>
              <w:t>N/A</w:t>
            </w:r>
          </w:p>
          <w:p w:rsidR="00126779" w:rsidRPr="00351DD4" w:rsidRDefault="00126779" w:rsidP="00126779">
            <w:pPr>
              <w:autoSpaceDE w:val="0"/>
              <w:autoSpaceDN w:val="0"/>
              <w:adjustRightInd w:val="0"/>
              <w:rPr>
                <w:rFonts w:eastAsia="Calibri" w:cs="Calibri"/>
                <w:b/>
                <w:color w:val="984806" w:themeColor="accent6" w:themeShade="80"/>
                <w:sz w:val="8"/>
                <w:szCs w:val="8"/>
              </w:rPr>
            </w:pPr>
          </w:p>
        </w:tc>
      </w:tr>
      <w:tr w:rsidR="00126779" w:rsidRPr="00351DD4" w:rsidTr="00126779">
        <w:trPr>
          <w:trHeight w:val="144"/>
        </w:trPr>
        <w:tc>
          <w:tcPr>
            <w:tcW w:w="5413" w:type="dxa"/>
            <w:vMerge/>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0" w:type="dxa"/>
          </w:tcPr>
          <w:p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201</w:t>
            </w:r>
            <w:r>
              <w:rPr>
                <w:rFonts w:eastAsia="Calibri" w:cs="Calibri"/>
                <w:b/>
                <w:color w:val="984806" w:themeColor="accent6" w:themeShade="80"/>
              </w:rPr>
              <w:t>5</w:t>
            </w:r>
            <w:r w:rsidRPr="00351DD4">
              <w:rPr>
                <w:rFonts w:eastAsia="Calibri" w:cs="Calibri"/>
                <w:b/>
                <w:color w:val="984806" w:themeColor="accent6" w:themeShade="80"/>
              </w:rPr>
              <w:t>/1</w:t>
            </w:r>
            <w:r>
              <w:rPr>
                <w:rFonts w:eastAsia="Calibri" w:cs="Calibri"/>
                <w:b/>
                <w:color w:val="984806" w:themeColor="accent6" w:themeShade="80"/>
              </w:rPr>
              <w:t>6</w:t>
            </w:r>
            <w:r w:rsidRPr="00351DD4">
              <w:rPr>
                <w:rFonts w:eastAsia="Calibri" w:cs="Calibri"/>
                <w:b/>
                <w:color w:val="984806" w:themeColor="accent6" w:themeShade="80"/>
              </w:rPr>
              <w:t>:</w:t>
            </w:r>
          </w:p>
        </w:tc>
        <w:tc>
          <w:tcPr>
            <w:tcW w:w="2609" w:type="dxa"/>
          </w:tcPr>
          <w:p w:rsidR="00126779" w:rsidRPr="00351DD4" w:rsidRDefault="00126779" w:rsidP="00126779">
            <w:pPr>
              <w:tabs>
                <w:tab w:val="left" w:pos="717"/>
              </w:tabs>
              <w:autoSpaceDE w:val="0"/>
              <w:autoSpaceDN w:val="0"/>
              <w:adjustRightInd w:val="0"/>
              <w:rPr>
                <w:rFonts w:eastAsia="Calibri" w:cs="Calibri"/>
                <w:color w:val="984806" w:themeColor="accent6" w:themeShade="80"/>
                <w:sz w:val="32"/>
              </w:rPr>
            </w:pPr>
            <w:r w:rsidRPr="00351DD4">
              <w:rPr>
                <w:rFonts w:eastAsia="Calibri" w:cs="Calibri"/>
                <w:color w:val="984806" w:themeColor="accent6" w:themeShade="80"/>
              </w:rPr>
              <w:t>N/A</w:t>
            </w:r>
          </w:p>
          <w:p w:rsidR="00126779" w:rsidRPr="00351DD4" w:rsidRDefault="00126779" w:rsidP="00126779">
            <w:pPr>
              <w:autoSpaceDE w:val="0"/>
              <w:autoSpaceDN w:val="0"/>
              <w:adjustRightInd w:val="0"/>
              <w:rPr>
                <w:rFonts w:eastAsia="Calibri" w:cs="Calibri"/>
                <w:b/>
                <w:color w:val="984806" w:themeColor="accent6" w:themeShade="80"/>
              </w:rPr>
            </w:pPr>
          </w:p>
        </w:tc>
      </w:tr>
      <w:tr w:rsidR="00126779" w:rsidRPr="00351DD4" w:rsidTr="00126779">
        <w:trPr>
          <w:trHeight w:val="144"/>
        </w:trPr>
        <w:tc>
          <w:tcPr>
            <w:tcW w:w="5413" w:type="dxa"/>
          </w:tcPr>
          <w:p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0" w:type="dxa"/>
          </w:tcPr>
          <w:p w:rsidR="00126779" w:rsidRPr="00351DD4" w:rsidRDefault="00126779" w:rsidP="00126779">
            <w:pPr>
              <w:autoSpaceDE w:val="0"/>
              <w:autoSpaceDN w:val="0"/>
              <w:adjustRightInd w:val="0"/>
              <w:rPr>
                <w:rFonts w:eastAsia="Calibri" w:cs="Calibri"/>
                <w:b/>
                <w:color w:val="984806" w:themeColor="accent6" w:themeShade="80"/>
              </w:rPr>
            </w:pPr>
          </w:p>
        </w:tc>
        <w:tc>
          <w:tcPr>
            <w:tcW w:w="2609" w:type="dxa"/>
          </w:tcPr>
          <w:p w:rsidR="00126779" w:rsidRPr="00351DD4" w:rsidRDefault="00126779" w:rsidP="00126779">
            <w:pPr>
              <w:autoSpaceDE w:val="0"/>
              <w:autoSpaceDN w:val="0"/>
              <w:adjustRightInd w:val="0"/>
              <w:rPr>
                <w:b/>
                <w:noProof/>
                <w:sz w:val="32"/>
                <w:szCs w:val="32"/>
                <w:lang w:eastAsia="en-GB"/>
              </w:rPr>
            </w:pPr>
          </w:p>
        </w:tc>
      </w:tr>
    </w:tbl>
    <w:p w:rsidR="00126779" w:rsidRPr="00351DD4" w:rsidRDefault="00126779" w:rsidP="00126779">
      <w:pPr>
        <w:numPr>
          <w:ilvl w:val="1"/>
          <w:numId w:val="8"/>
        </w:numPr>
        <w:autoSpaceDE w:val="0"/>
        <w:autoSpaceDN w:val="0"/>
        <w:adjustRightInd w:val="0"/>
        <w:spacing w:after="200" w:line="276" w:lineRule="auto"/>
        <w:ind w:left="567" w:right="-45" w:hanging="567"/>
        <w:jc w:val="both"/>
        <w:rPr>
          <w:rFonts w:eastAsia="Calibri" w:cs="Times New Roman"/>
          <w:szCs w:val="22"/>
        </w:rPr>
      </w:pPr>
      <w:r w:rsidRPr="00351DD4">
        <w:rPr>
          <w:rFonts w:eastAsia="Calibri" w:cs="Times New Roman"/>
          <w:szCs w:val="22"/>
        </w:rPr>
        <w:t xml:space="preserve">No applications for residential moorings were received during the monitoring year. </w:t>
      </w:r>
    </w:p>
    <w:p w:rsidR="00126779" w:rsidRPr="00351DD4" w:rsidRDefault="00126779" w:rsidP="00126779">
      <w:pPr>
        <w:autoSpaceDE w:val="0"/>
        <w:autoSpaceDN w:val="0"/>
        <w:adjustRightInd w:val="0"/>
        <w:spacing w:before="240" w:after="200" w:line="276" w:lineRule="auto"/>
        <w:ind w:right="-45"/>
        <w:jc w:val="both"/>
        <w:rPr>
          <w:rFonts w:eastAsia="Calibri" w:cs="Times New Roman"/>
          <w:szCs w:val="22"/>
        </w:rPr>
      </w:pPr>
    </w:p>
    <w:p w:rsidR="00126779" w:rsidRPr="00351DD4" w:rsidRDefault="00126779" w:rsidP="00126779">
      <w:pPr>
        <w:spacing w:line="276" w:lineRule="auto"/>
        <w:rPr>
          <w:rFonts w:asciiTheme="minorHAnsi" w:hAnsiTheme="minorHAnsi" w:cstheme="minorBidi"/>
          <w:szCs w:val="22"/>
        </w:rPr>
      </w:pPr>
    </w:p>
    <w:p w:rsidR="00126779" w:rsidRPr="00351DD4" w:rsidRDefault="00126779" w:rsidP="00126779">
      <w:pPr>
        <w:spacing w:line="276" w:lineRule="auto"/>
        <w:rPr>
          <w:rFonts w:asciiTheme="minorHAnsi" w:hAnsiTheme="minorHAnsi" w:cstheme="minorBidi"/>
          <w:szCs w:val="22"/>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Pr>
        <w:keepNext/>
        <w:keepLines/>
        <w:outlineLvl w:val="0"/>
        <w:rPr>
          <w:rFonts w:asciiTheme="minorHAnsi" w:eastAsia="Calibri" w:hAnsiTheme="minorHAnsi" w:cstheme="majorBidi"/>
          <w:b/>
          <w:bCs/>
          <w:sz w:val="32"/>
          <w:szCs w:val="28"/>
        </w:rPr>
      </w:pPr>
    </w:p>
    <w:p w:rsidR="00126779" w:rsidRPr="00351DD4" w:rsidRDefault="00126779" w:rsidP="00126779"/>
    <w:p w:rsidR="00126779" w:rsidRPr="008A22C6" w:rsidRDefault="00126779" w:rsidP="00126779"/>
    <w:p w:rsidR="00126779" w:rsidRDefault="00126779" w:rsidP="008A22C6"/>
    <w:p w:rsidR="00126779" w:rsidRDefault="00126779" w:rsidP="008A22C6"/>
    <w:p w:rsidR="00126779" w:rsidRDefault="00126779" w:rsidP="008A22C6"/>
    <w:p w:rsidR="00126779" w:rsidRPr="006D734C" w:rsidRDefault="00126779" w:rsidP="00126779">
      <w:pPr>
        <w:pStyle w:val="Heading1"/>
      </w:pPr>
      <w:bookmarkStart w:id="27" w:name="_Toc529178357"/>
      <w:r>
        <w:lastRenderedPageBreak/>
        <w:t>Strong and Active Communities</w:t>
      </w:r>
      <w:bookmarkEnd w:id="27"/>
    </w:p>
    <w:tbl>
      <w:tblPr>
        <w:tblStyle w:val="TableGrid3"/>
        <w:tblW w:w="0" w:type="auto"/>
        <w:tblLook w:val="04A0" w:firstRow="1" w:lastRow="0" w:firstColumn="1" w:lastColumn="0" w:noHBand="0" w:noVBand="1"/>
      </w:tblPr>
      <w:tblGrid>
        <w:gridCol w:w="3510"/>
        <w:gridCol w:w="5732"/>
      </w:tblGrid>
      <w:tr w:rsidR="00126779" w:rsidRPr="006A368A" w:rsidTr="00126779">
        <w:tc>
          <w:tcPr>
            <w:tcW w:w="9242" w:type="dxa"/>
            <w:gridSpan w:val="2"/>
            <w:tcBorders>
              <w:top w:val="nil"/>
              <w:left w:val="nil"/>
              <w:bottom w:val="nil"/>
              <w:right w:val="nil"/>
            </w:tcBorders>
            <w:shd w:val="clear" w:color="auto" w:fill="BB1609"/>
          </w:tcPr>
          <w:p w:rsidR="00126779" w:rsidRPr="00852736" w:rsidRDefault="00126779" w:rsidP="00126779">
            <w:pPr>
              <w:spacing w:before="120"/>
              <w:rPr>
                <w:rFonts w:eastAsia="Calibri" w:cs="Calibri"/>
                <w:b/>
                <w:noProof/>
                <w:color w:val="FFFFFF" w:themeColor="background1"/>
                <w:szCs w:val="22"/>
                <w:lang w:eastAsia="en-GB"/>
              </w:rPr>
            </w:pPr>
            <w:r w:rsidRPr="001168A3">
              <w:rPr>
                <w:rFonts w:eastAsia="Calibri" w:cs="Calibri"/>
                <w:noProof/>
                <w:color w:val="FFFFFF" w:themeColor="background1"/>
                <w:sz w:val="24"/>
                <w:szCs w:val="22"/>
                <w:lang w:eastAsia="en-GB"/>
              </w:rPr>
              <w:t>Ambitio</w:t>
            </w:r>
            <w:r w:rsidRPr="001168A3">
              <w:rPr>
                <w:rFonts w:eastAsia="Calibri" w:cs="Calibri"/>
                <w:noProof/>
                <w:color w:val="FFFFFF" w:themeColor="background1"/>
                <w:sz w:val="24"/>
                <w:lang w:eastAsia="en-GB"/>
              </w:rPr>
              <w:t xml:space="preserve">n: </w:t>
            </w:r>
            <w:r w:rsidRPr="00DC65CC">
              <w:rPr>
                <w:rFonts w:eastAsia="Calibri" w:cs="Calibri"/>
                <w:b/>
                <w:noProof/>
                <w:color w:val="FFFFFF" w:themeColor="background1"/>
                <w:sz w:val="24"/>
                <w:lang w:eastAsia="en-GB"/>
              </w:rPr>
              <w:t>Socially cohesive and safe communities</w:t>
            </w:r>
          </w:p>
          <w:p w:rsidR="00126779" w:rsidRPr="00852736" w:rsidRDefault="00126779" w:rsidP="00126779">
            <w:pPr>
              <w:rPr>
                <w:rFonts w:eastAsia="Calibri" w:cs="Calibri"/>
                <w:b/>
                <w:noProof/>
                <w:color w:val="FFFFFF" w:themeColor="background1"/>
                <w:sz w:val="8"/>
                <w:szCs w:val="8"/>
                <w:lang w:eastAsia="en-GB"/>
              </w:rPr>
            </w:pPr>
          </w:p>
          <w:p w:rsidR="00126779" w:rsidRPr="002459F7" w:rsidRDefault="00126779" w:rsidP="00126779">
            <w:pPr>
              <w:rPr>
                <w:rFonts w:eastAsia="Calibri" w:cs="Calibri"/>
                <w:noProof/>
                <w:color w:val="FFFFFF" w:themeColor="background1"/>
                <w:szCs w:val="22"/>
                <w:lang w:eastAsia="en-GB"/>
              </w:rPr>
            </w:pPr>
            <w:r>
              <w:rPr>
                <w:rFonts w:eastAsia="Calibri" w:cs="Calibri"/>
                <w:noProof/>
                <w:color w:val="FFFFFF" w:themeColor="background1"/>
                <w:szCs w:val="22"/>
                <w:lang w:eastAsia="en-GB"/>
              </w:rPr>
              <w:t>Ouir aim is that everyone in the city has the opportunity to:</w:t>
            </w:r>
          </w:p>
        </w:tc>
      </w:tr>
      <w:tr w:rsidR="00126779" w:rsidRPr="006A368A" w:rsidTr="00126779">
        <w:tc>
          <w:tcPr>
            <w:tcW w:w="9242" w:type="dxa"/>
            <w:gridSpan w:val="2"/>
            <w:tcBorders>
              <w:top w:val="nil"/>
              <w:left w:val="nil"/>
              <w:bottom w:val="nil"/>
              <w:right w:val="nil"/>
            </w:tcBorders>
            <w:shd w:val="clear" w:color="auto" w:fill="BB1609"/>
          </w:tcPr>
          <w:p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engaged in the diverse social and cultural life of the city</w:t>
            </w:r>
          </w:p>
          <w:p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active and engaged in lesuire and sporting activities in the city</w:t>
            </w:r>
          </w:p>
          <w:p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protected from the risk of crime, exploitation and anti-social behaviour</w:t>
            </w:r>
          </w:p>
          <w:p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Have the support they need to achieve their potential</w:t>
            </w:r>
          </w:p>
          <w:p w:rsidR="00126779" w:rsidRPr="00DC65CC" w:rsidRDefault="00126779" w:rsidP="00126779">
            <w:pPr>
              <w:pStyle w:val="ListParagraph"/>
              <w:ind w:left="993"/>
              <w:rPr>
                <w:rFonts w:eastAsia="Calibri" w:cs="Calibri"/>
                <w:noProof/>
                <w:color w:val="FFFFFF" w:themeColor="background1"/>
                <w:szCs w:val="22"/>
                <w:lang w:eastAsia="en-GB"/>
              </w:rPr>
            </w:pPr>
          </w:p>
        </w:tc>
      </w:tr>
      <w:tr w:rsidR="00126779" w:rsidRPr="006A368A" w:rsidTr="00126779">
        <w:tc>
          <w:tcPr>
            <w:tcW w:w="9242" w:type="dxa"/>
            <w:gridSpan w:val="2"/>
            <w:tcBorders>
              <w:top w:val="nil"/>
              <w:left w:val="nil"/>
              <w:bottom w:val="nil"/>
              <w:right w:val="nil"/>
            </w:tcBorders>
            <w:shd w:val="clear" w:color="auto" w:fill="F18B77"/>
          </w:tcPr>
          <w:p w:rsidR="00126779" w:rsidRPr="006A368A" w:rsidRDefault="00126779" w:rsidP="00126779">
            <w:pPr>
              <w:rPr>
                <w:rFonts w:eastAsia="Calibri" w:cs="Calibri"/>
                <w:b/>
                <w:noProof/>
                <w:color w:val="000000"/>
                <w:sz w:val="28"/>
                <w:szCs w:val="28"/>
                <w:lang w:eastAsia="en-GB"/>
              </w:rPr>
            </w:pPr>
            <w:r w:rsidRPr="00B566D8">
              <w:rPr>
                <w:rFonts w:eastAsia="Calibri" w:cs="Calibri"/>
                <w:b/>
                <w:noProof/>
                <w:color w:val="632423" w:themeColor="accent2" w:themeShade="80"/>
                <w:sz w:val="24"/>
                <w:szCs w:val="28"/>
                <w:lang w:eastAsia="en-GB"/>
              </w:rPr>
              <w:t xml:space="preserve">Snapshot of Oxford’s population   </w:t>
            </w:r>
            <w:r w:rsidRPr="00580768">
              <w:rPr>
                <w:rFonts w:eastAsia="Calibri" w:cs="Calibri"/>
                <w:b/>
                <w:noProof/>
                <w:color w:val="403152" w:themeColor="accent4" w:themeShade="80"/>
                <w:sz w:val="24"/>
                <w:szCs w:val="28"/>
                <w:lang w:eastAsia="en-GB"/>
              </w:rPr>
              <w:t xml:space="preserve">    </w:t>
            </w:r>
            <w:r w:rsidRPr="00580768">
              <w:rPr>
                <w:rFonts w:eastAsia="Calibri" w:cs="Calibri"/>
                <w:b/>
                <w:noProof/>
                <w:color w:val="403152" w:themeColor="accent4" w:themeShade="80"/>
                <w:sz w:val="28"/>
                <w:szCs w:val="28"/>
                <w:lang w:eastAsia="en-GB"/>
              </w:rPr>
              <w:t xml:space="preserve"> </w:t>
            </w:r>
            <w:r w:rsidRPr="006A368A">
              <w:rPr>
                <w:rFonts w:eastAsia="Calibri" w:cs="Calibri"/>
                <w:b/>
                <w:noProof/>
                <w:color w:val="FFFFFF" w:themeColor="background1"/>
                <w:sz w:val="28"/>
                <w:szCs w:val="28"/>
                <w:lang w:eastAsia="en-GB"/>
              </w:rPr>
              <w:t xml:space="preserve">                                                                                  </w:t>
            </w:r>
            <w:r w:rsidRPr="006A368A">
              <w:rPr>
                <w:rFonts w:eastAsia="Calibri" w:cs="Calibri"/>
                <w:b/>
                <w:noProof/>
                <w:color w:val="FFFFFF" w:themeColor="background1"/>
                <w:sz w:val="20"/>
                <w:szCs w:val="20"/>
                <w:lang w:eastAsia="en-GB"/>
              </w:rPr>
              <w:t xml:space="preserve">                    </w:t>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2F785F" w:rsidRDefault="00126779" w:rsidP="00126779">
            <w:pPr>
              <w:rPr>
                <w:rFonts w:eastAsia="Calibri" w:cs="Calibri"/>
                <w:b/>
                <w:noProof/>
                <w:color w:val="000000"/>
                <w:szCs w:val="22"/>
                <w:lang w:eastAsia="en-GB"/>
              </w:rPr>
            </w:pPr>
            <w:r>
              <w:rPr>
                <w:rFonts w:eastAsia="Calibri" w:cs="Calibri"/>
                <w:b/>
                <w:noProof/>
                <w:color w:val="000000"/>
                <w:szCs w:val="22"/>
                <w:lang w:eastAsia="en-GB"/>
              </w:rPr>
              <w:t xml:space="preserve">Usual resident </w:t>
            </w:r>
            <w:r w:rsidRPr="002F785F">
              <w:rPr>
                <w:rFonts w:eastAsia="Calibri" w:cs="Calibri"/>
                <w:b/>
                <w:noProof/>
                <w:color w:val="000000"/>
                <w:szCs w:val="22"/>
                <w:lang w:eastAsia="en-GB"/>
              </w:rPr>
              <w:t>population</w:t>
            </w:r>
            <w:r>
              <w:rPr>
                <w:rFonts w:eastAsia="Calibri" w:cs="Calibri"/>
                <w:b/>
                <w:noProof/>
                <w:color w:val="000000"/>
                <w:szCs w:val="22"/>
                <w:lang w:eastAsia="en-GB"/>
              </w:rPr>
              <w:t>:</w:t>
            </w:r>
            <w:r w:rsidRPr="002F785F">
              <w:rPr>
                <w:rFonts w:eastAsia="Calibri" w:cs="Calibri"/>
                <w:b/>
                <w:noProof/>
                <w:color w:val="000000"/>
                <w:szCs w:val="22"/>
                <w:lang w:eastAsia="en-GB"/>
              </w:rPr>
              <w:t xml:space="preserve"> </w:t>
            </w:r>
          </w:p>
        </w:tc>
        <w:tc>
          <w:tcPr>
            <w:tcW w:w="5732" w:type="dxa"/>
            <w:tcBorders>
              <w:top w:val="nil"/>
              <w:left w:val="nil"/>
              <w:bottom w:val="nil"/>
              <w:right w:val="nil"/>
            </w:tcBorders>
            <w:shd w:val="clear" w:color="auto" w:fill="F2DBDB" w:themeFill="accent2" w:themeFillTint="33"/>
          </w:tcPr>
          <w:p w:rsidR="00126779" w:rsidRPr="006A368A" w:rsidRDefault="00126779" w:rsidP="00126779">
            <w:pPr>
              <w:rPr>
                <w:rFonts w:eastAsia="Calibri" w:cs="Calibri"/>
                <w:noProof/>
                <w:color w:val="000000"/>
                <w:szCs w:val="22"/>
                <w:lang w:eastAsia="en-GB"/>
              </w:rPr>
            </w:pPr>
            <w:r>
              <w:rPr>
                <w:rFonts w:eastAsia="Calibri" w:cs="Calibri"/>
                <w:noProof/>
                <w:color w:val="000000"/>
                <w:szCs w:val="22"/>
                <w:lang w:eastAsia="en-GB"/>
              </w:rPr>
              <w:t>151,906</w:t>
            </w:r>
            <w:r w:rsidRPr="00283314">
              <w:rPr>
                <w:rFonts w:eastAsia="Calibri" w:cs="Calibri"/>
                <w:noProof/>
                <w:color w:val="000000"/>
                <w:szCs w:val="22"/>
                <w:lang w:eastAsia="en-GB"/>
              </w:rPr>
              <w:t xml:space="preserve"> people</w:t>
            </w:r>
            <w:r>
              <w:rPr>
                <w:rStyle w:val="FootnoteReference"/>
                <w:rFonts w:eastAsia="Calibri" w:cs="Calibri"/>
                <w:noProof/>
                <w:color w:val="000000"/>
                <w:szCs w:val="22"/>
                <w:lang w:eastAsia="en-GB"/>
              </w:rPr>
              <w:footnoteReference w:id="26"/>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421A3D" w:rsidRDefault="00126779" w:rsidP="00126779">
            <w:pPr>
              <w:rPr>
                <w:rFonts w:eastAsia="Calibri" w:cs="Calibri"/>
                <w:b/>
                <w:noProof/>
                <w:color w:val="000000"/>
                <w:szCs w:val="22"/>
                <w:lang w:eastAsia="en-GB"/>
              </w:rPr>
            </w:pPr>
            <w:r w:rsidRPr="00421A3D">
              <w:rPr>
                <w:rFonts w:eastAsia="Calibri" w:cs="Calibri"/>
                <w:b/>
                <w:noProof/>
                <w:color w:val="000000"/>
                <w:szCs w:val="22"/>
                <w:lang w:eastAsia="en-GB"/>
              </w:rPr>
              <w:t>Annual population turnover:</w:t>
            </w:r>
          </w:p>
        </w:tc>
        <w:tc>
          <w:tcPr>
            <w:tcW w:w="5732" w:type="dxa"/>
            <w:tcBorders>
              <w:top w:val="nil"/>
              <w:left w:val="nil"/>
              <w:bottom w:val="nil"/>
              <w:right w:val="nil"/>
            </w:tcBorders>
            <w:shd w:val="clear" w:color="auto" w:fill="F2DBDB" w:themeFill="accent2" w:themeFillTint="33"/>
          </w:tcPr>
          <w:p w:rsidR="00126779" w:rsidRPr="006A368A" w:rsidRDefault="00CC3D19" w:rsidP="00126779">
            <w:pPr>
              <w:rPr>
                <w:rFonts w:eastAsia="Calibri" w:cs="Calibri"/>
                <w:noProof/>
                <w:color w:val="000000"/>
                <w:szCs w:val="22"/>
                <w:lang w:eastAsia="en-GB"/>
              </w:rPr>
            </w:pPr>
            <w:r>
              <w:rPr>
                <w:rFonts w:eastAsia="Calibri" w:cs="Calibri"/>
                <w:noProof/>
                <w:color w:val="000000"/>
                <w:szCs w:val="22"/>
                <w:lang w:eastAsia="en-GB"/>
              </w:rPr>
              <w:t>26</w:t>
            </w:r>
            <w:r w:rsidR="00126779" w:rsidRPr="006A368A">
              <w:rPr>
                <w:rFonts w:eastAsia="Calibri" w:cs="Calibri"/>
                <w:noProof/>
                <w:color w:val="000000"/>
                <w:szCs w:val="22"/>
                <w:lang w:eastAsia="en-GB"/>
              </w:rPr>
              <w:t>%</w:t>
            </w:r>
            <w:r w:rsidR="00126779">
              <w:rPr>
                <w:rFonts w:eastAsia="Calibri" w:cs="Calibri"/>
                <w:noProof/>
                <w:color w:val="000000"/>
                <w:szCs w:val="22"/>
                <w:lang w:eastAsia="en-GB"/>
              </w:rPr>
              <w:t xml:space="preserve"> annual population turnover</w:t>
            </w:r>
            <w:r w:rsidR="00126779">
              <w:rPr>
                <w:rStyle w:val="FootnoteReference"/>
                <w:rFonts w:eastAsia="Calibri" w:cs="Calibri"/>
                <w:noProof/>
                <w:color w:val="000000"/>
                <w:szCs w:val="22"/>
                <w:lang w:eastAsia="en-GB"/>
              </w:rPr>
              <w:footnoteReference w:id="27"/>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421A3D" w:rsidRDefault="00126779" w:rsidP="00126779">
            <w:pPr>
              <w:rPr>
                <w:rFonts w:eastAsia="Calibri" w:cs="Calibri"/>
                <w:b/>
                <w:noProof/>
                <w:color w:val="000000"/>
                <w:szCs w:val="22"/>
                <w:lang w:eastAsia="en-GB"/>
              </w:rPr>
            </w:pPr>
            <w:r w:rsidRPr="00421A3D">
              <w:rPr>
                <w:rFonts w:eastAsia="Calibri" w:cs="Calibri"/>
                <w:b/>
                <w:noProof/>
                <w:color w:val="000000"/>
                <w:szCs w:val="22"/>
                <w:lang w:eastAsia="en-GB"/>
              </w:rPr>
              <w:t>Students as % of adult population:</w:t>
            </w:r>
          </w:p>
        </w:tc>
        <w:tc>
          <w:tcPr>
            <w:tcW w:w="5732" w:type="dxa"/>
            <w:tcBorders>
              <w:top w:val="nil"/>
              <w:left w:val="nil"/>
              <w:bottom w:val="nil"/>
              <w:right w:val="nil"/>
            </w:tcBorders>
            <w:shd w:val="clear" w:color="auto" w:fill="F2DBDB" w:themeFill="accent2" w:themeFillTint="33"/>
          </w:tcPr>
          <w:p w:rsidR="00126779" w:rsidRPr="006A368A" w:rsidRDefault="00126779" w:rsidP="00126779">
            <w:pPr>
              <w:rPr>
                <w:rFonts w:eastAsia="Calibri" w:cs="Calibri"/>
                <w:noProof/>
                <w:color w:val="000000"/>
                <w:szCs w:val="22"/>
                <w:lang w:eastAsia="en-GB"/>
              </w:rPr>
            </w:pPr>
            <w:r w:rsidRPr="00CF00DF">
              <w:rPr>
                <w:rFonts w:eastAsia="Calibri" w:cs="Calibri"/>
                <w:noProof/>
                <w:color w:val="000000"/>
                <w:szCs w:val="22"/>
                <w:lang w:eastAsia="en-GB"/>
              </w:rPr>
              <w:t xml:space="preserve">24% </w:t>
            </w:r>
            <w:r w:rsidRPr="00CF00DF">
              <w:rPr>
                <w:rFonts w:eastAsia="Calibri" w:cs="Calibri"/>
                <w:noProof/>
                <w:color w:val="000000"/>
                <w:sz w:val="20"/>
                <w:szCs w:val="22"/>
                <w:lang w:eastAsia="en-GB"/>
              </w:rPr>
              <w:t>(approximately 32,800 full time university students)</w:t>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2F785F" w:rsidRDefault="00126779" w:rsidP="00126779">
            <w:pPr>
              <w:rPr>
                <w:rFonts w:eastAsia="Calibri" w:cs="Calibri"/>
                <w:b/>
                <w:noProof/>
                <w:color w:val="000000"/>
                <w:szCs w:val="22"/>
                <w:lang w:eastAsia="en-GB"/>
              </w:rPr>
            </w:pPr>
            <w:r w:rsidRPr="002F785F">
              <w:rPr>
                <w:rFonts w:eastAsia="Calibri" w:cs="Calibri"/>
                <w:b/>
                <w:noProof/>
                <w:color w:val="000000"/>
                <w:szCs w:val="22"/>
                <w:lang w:eastAsia="en-GB"/>
              </w:rPr>
              <w:t>Non-white Britsh population</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126779" w:rsidRPr="00283314" w:rsidRDefault="00126779" w:rsidP="00126779">
            <w:pPr>
              <w:rPr>
                <w:rFonts w:eastAsia="Calibri" w:cs="Calibri"/>
                <w:noProof/>
                <w:color w:val="000000"/>
                <w:szCs w:val="22"/>
                <w:lang w:eastAsia="en-GB"/>
              </w:rPr>
            </w:pPr>
            <w:r w:rsidRPr="00283314">
              <w:rPr>
                <w:rFonts w:eastAsia="Calibri" w:cs="Calibri"/>
                <w:noProof/>
                <w:color w:val="000000"/>
                <w:szCs w:val="22"/>
                <w:lang w:eastAsia="en-GB"/>
              </w:rPr>
              <w:t>22% from a black or minority ethnic background</w:t>
            </w:r>
          </w:p>
          <w:p w:rsidR="00126779" w:rsidRPr="006A368A" w:rsidRDefault="00126779" w:rsidP="00126779">
            <w:pPr>
              <w:rPr>
                <w:rFonts w:eastAsia="Calibri" w:cs="Calibri"/>
                <w:noProof/>
                <w:color w:val="000000"/>
                <w:szCs w:val="22"/>
                <w:lang w:eastAsia="en-GB"/>
              </w:rPr>
            </w:pPr>
            <w:r w:rsidRPr="00283314">
              <w:rPr>
                <w:rFonts w:eastAsia="Calibri" w:cs="Calibri"/>
                <w:noProof/>
                <w:color w:val="000000"/>
                <w:szCs w:val="22"/>
                <w:lang w:eastAsia="en-GB"/>
              </w:rPr>
              <w:t>14% from a white but non-British ethnic background</w:t>
            </w:r>
            <w:r>
              <w:rPr>
                <w:rStyle w:val="FootnoteReference"/>
                <w:rFonts w:eastAsia="Calibri" w:cs="Calibri"/>
                <w:noProof/>
                <w:color w:val="000000"/>
                <w:szCs w:val="22"/>
                <w:lang w:eastAsia="en-GB"/>
              </w:rPr>
              <w:footnoteReference w:id="28"/>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2F785F" w:rsidRDefault="00126779" w:rsidP="00126779">
            <w:pPr>
              <w:rPr>
                <w:rFonts w:eastAsia="Calibri" w:cs="Calibri"/>
                <w:b/>
                <w:noProof/>
                <w:color w:val="000000"/>
                <w:lang w:eastAsia="en-GB"/>
              </w:rPr>
            </w:pPr>
            <w:r w:rsidRPr="002F785F">
              <w:rPr>
                <w:rFonts w:eastAsia="Calibri" w:cs="Calibri"/>
                <w:b/>
                <w:noProof/>
                <w:color w:val="000000"/>
                <w:szCs w:val="22"/>
                <w:lang w:eastAsia="en-GB"/>
              </w:rPr>
              <w:t>Life expectancy at birth</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126779" w:rsidRPr="00283314" w:rsidRDefault="00CC3D19" w:rsidP="00126779">
            <w:pPr>
              <w:rPr>
                <w:rFonts w:eastAsia="Calibri" w:cs="Calibri"/>
                <w:noProof/>
                <w:color w:val="000000"/>
                <w:szCs w:val="22"/>
                <w:lang w:eastAsia="en-GB"/>
              </w:rPr>
            </w:pPr>
            <w:r>
              <w:rPr>
                <w:rFonts w:eastAsia="Calibri" w:cs="Calibri"/>
                <w:noProof/>
                <w:color w:val="000000"/>
                <w:szCs w:val="22"/>
                <w:lang w:eastAsia="en-GB"/>
              </w:rPr>
              <w:t>82.5 years</w:t>
            </w:r>
            <w:r w:rsidR="00126779">
              <w:rPr>
                <w:rStyle w:val="FootnoteReference"/>
                <w:rFonts w:eastAsia="Calibri" w:cs="Calibri"/>
                <w:noProof/>
                <w:color w:val="000000"/>
                <w:szCs w:val="22"/>
                <w:lang w:eastAsia="en-GB"/>
              </w:rPr>
              <w:footnoteReference w:id="29"/>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2F785F" w:rsidRDefault="00126779" w:rsidP="00126779">
            <w:pPr>
              <w:rPr>
                <w:rFonts w:eastAsia="Calibri" w:cs="Calibri"/>
                <w:b/>
                <w:noProof/>
                <w:color w:val="000000"/>
                <w:lang w:eastAsia="en-GB"/>
              </w:rPr>
            </w:pPr>
            <w:r w:rsidRPr="002F785F">
              <w:rPr>
                <w:rFonts w:eastAsia="Calibri" w:cs="Calibri"/>
                <w:b/>
                <w:noProof/>
                <w:color w:val="000000"/>
                <w:szCs w:val="22"/>
                <w:lang w:eastAsia="en-GB"/>
              </w:rPr>
              <w:t>% population in good or very good health</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126779" w:rsidRPr="00580768" w:rsidRDefault="00126779" w:rsidP="00126779">
            <w:pPr>
              <w:rPr>
                <w:rFonts w:eastAsia="Calibri" w:cs="Calibri"/>
                <w:noProof/>
                <w:color w:val="000000"/>
                <w:lang w:eastAsia="en-GB"/>
              </w:rPr>
            </w:pPr>
            <w:r w:rsidRPr="006A368A">
              <w:rPr>
                <w:rFonts w:eastAsia="Calibri" w:cs="Calibri"/>
                <w:noProof/>
                <w:color w:val="000000"/>
                <w:szCs w:val="22"/>
                <w:lang w:eastAsia="en-GB"/>
              </w:rPr>
              <w:t>87%</w:t>
            </w:r>
            <w:r>
              <w:rPr>
                <w:rFonts w:eastAsia="Calibri" w:cs="Calibri"/>
                <w:noProof/>
                <w:color w:val="000000"/>
                <w:szCs w:val="22"/>
                <w:lang w:eastAsia="en-GB"/>
              </w:rPr>
              <w:t xml:space="preserve"> of Oxford’s population in good or very good health</w:t>
            </w:r>
            <w:r>
              <w:rPr>
                <w:rStyle w:val="FootnoteReference"/>
                <w:rFonts w:eastAsia="Calibri" w:cs="Calibri"/>
                <w:noProof/>
                <w:color w:val="000000"/>
                <w:szCs w:val="22"/>
                <w:lang w:eastAsia="en-GB"/>
              </w:rPr>
              <w:footnoteReference w:id="30"/>
            </w:r>
          </w:p>
        </w:tc>
      </w:tr>
      <w:tr w:rsidR="00126779" w:rsidRPr="006A368A" w:rsidTr="00126779">
        <w:tc>
          <w:tcPr>
            <w:tcW w:w="3510" w:type="dxa"/>
            <w:tcBorders>
              <w:top w:val="nil"/>
              <w:left w:val="nil"/>
              <w:bottom w:val="nil"/>
              <w:right w:val="nil"/>
            </w:tcBorders>
            <w:shd w:val="clear" w:color="auto" w:fill="E5B8B7" w:themeFill="accent2" w:themeFillTint="66"/>
          </w:tcPr>
          <w:p w:rsidR="00126779" w:rsidRPr="002F785F" w:rsidRDefault="00126779" w:rsidP="00126779">
            <w:pPr>
              <w:rPr>
                <w:rFonts w:eastAsia="Calibri" w:cs="Calibri"/>
                <w:b/>
                <w:noProof/>
                <w:color w:val="000000"/>
                <w:lang w:eastAsia="en-GB"/>
              </w:rPr>
            </w:pPr>
            <w:r w:rsidRPr="002F785F">
              <w:rPr>
                <w:rFonts w:eastAsia="Calibri" w:cs="Calibri"/>
                <w:b/>
                <w:noProof/>
                <w:color w:val="000000"/>
                <w:szCs w:val="22"/>
                <w:lang w:eastAsia="en-GB"/>
              </w:rPr>
              <w:t>Areas of the city amongst the 20% most deprived parts of the country</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126779" w:rsidRPr="00764EC2" w:rsidRDefault="00126779" w:rsidP="00126779">
            <w:pPr>
              <w:rPr>
                <w:rFonts w:asciiTheme="minorHAnsi" w:eastAsia="Calibri" w:hAnsiTheme="minorHAnsi" w:cstheme="minorHAnsi"/>
                <w:noProof/>
                <w:color w:val="000000"/>
                <w:lang w:eastAsia="en-GB"/>
              </w:rPr>
            </w:pPr>
            <w:r w:rsidRPr="00764EC2">
              <w:rPr>
                <w:rFonts w:asciiTheme="minorHAnsi" w:hAnsiTheme="minorHAnsi" w:cstheme="minorHAnsi"/>
                <w:szCs w:val="20"/>
              </w:rPr>
              <w:t>Of 83 ‘super output areas’ in Oxford, 10 are among the 20% most deprived areas in England. These areas are in the Leys, Littlemore, Rose Hill and Barton areas of the city.</w:t>
            </w:r>
            <w:r w:rsidRPr="00764EC2">
              <w:rPr>
                <w:rStyle w:val="FootnoteReference"/>
                <w:rFonts w:asciiTheme="minorHAnsi" w:hAnsiTheme="minorHAnsi" w:cstheme="minorHAnsi"/>
                <w:szCs w:val="20"/>
              </w:rPr>
              <w:footnoteReference w:id="31"/>
            </w:r>
          </w:p>
        </w:tc>
      </w:tr>
      <w:tr w:rsidR="00126779" w:rsidRPr="006A368A" w:rsidTr="00126779">
        <w:tc>
          <w:tcPr>
            <w:tcW w:w="9242" w:type="dxa"/>
            <w:gridSpan w:val="2"/>
            <w:tcBorders>
              <w:top w:val="nil"/>
              <w:left w:val="nil"/>
              <w:bottom w:val="nil"/>
              <w:right w:val="nil"/>
            </w:tcBorders>
            <w:shd w:val="clear" w:color="auto" w:fill="F18B77"/>
          </w:tcPr>
          <w:p w:rsidR="00126779" w:rsidRPr="006A368A" w:rsidRDefault="00126779" w:rsidP="00126779">
            <w:pPr>
              <w:rPr>
                <w:rFonts w:eastAsia="Calibri" w:cs="Calibri"/>
                <w:b/>
                <w:noProof/>
                <w:color w:val="000000"/>
                <w:szCs w:val="22"/>
                <w:lang w:eastAsia="en-GB"/>
              </w:rPr>
            </w:pPr>
            <w:r w:rsidRPr="00B566D8">
              <w:rPr>
                <w:rFonts w:eastAsia="Calibri" w:cs="Calibri"/>
                <w:b/>
                <w:noProof/>
                <w:color w:val="632423" w:themeColor="accent2" w:themeShade="80"/>
                <w:sz w:val="24"/>
                <w:szCs w:val="22"/>
                <w:lang w:eastAsia="en-GB"/>
              </w:rPr>
              <w:t>Population changes over time</w:t>
            </w:r>
          </w:p>
        </w:tc>
      </w:tr>
      <w:tr w:rsidR="00126779" w:rsidRPr="006A368A" w:rsidTr="00126779">
        <w:tc>
          <w:tcPr>
            <w:tcW w:w="9242" w:type="dxa"/>
            <w:gridSpan w:val="2"/>
            <w:tcBorders>
              <w:top w:val="nil"/>
              <w:left w:val="nil"/>
              <w:bottom w:val="nil"/>
              <w:right w:val="nil"/>
            </w:tcBorders>
            <w:shd w:val="clear" w:color="auto" w:fill="F2DBDB" w:themeFill="accent2" w:themeFillTint="33"/>
          </w:tcPr>
          <w:p w:rsidR="00126779" w:rsidRPr="0009246B" w:rsidRDefault="00126779" w:rsidP="00126779">
            <w:pPr>
              <w:jc w:val="center"/>
              <w:rPr>
                <w:rFonts w:eastAsia="Calibri" w:cs="Calibri"/>
                <w:noProof/>
                <w:color w:val="000000"/>
                <w:sz w:val="12"/>
                <w:szCs w:val="12"/>
                <w:lang w:eastAsia="en-GB"/>
              </w:rPr>
            </w:pPr>
          </w:p>
          <w:p w:rsidR="00126779" w:rsidRPr="006A368A" w:rsidRDefault="00126779" w:rsidP="00126779">
            <w:pPr>
              <w:jc w:val="center"/>
              <w:rPr>
                <w:rFonts w:eastAsia="Calibri" w:cs="Calibri"/>
                <w:noProof/>
                <w:color w:val="000000"/>
                <w:szCs w:val="22"/>
                <w:lang w:eastAsia="en-GB"/>
              </w:rPr>
            </w:pPr>
            <w:r w:rsidRPr="006A368A">
              <w:rPr>
                <w:rFonts w:ascii="Arial" w:hAnsi="Arial"/>
                <w:noProof/>
                <w:sz w:val="24"/>
                <w:shd w:val="clear" w:color="auto" w:fill="CCC0D9" w:themeFill="accent4" w:themeFillTint="66"/>
                <w:lang w:eastAsia="en-GB"/>
              </w:rPr>
              <w:drawing>
                <wp:inline distT="0" distB="0" distL="0" distR="0" wp14:anchorId="4B18F78E" wp14:editId="17DDE8CA">
                  <wp:extent cx="5105940" cy="3162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schemeClr val="accent2">
                                <a:shade val="45000"/>
                                <a:satMod val="135000"/>
                              </a:schemeClr>
                              <a:prstClr val="white"/>
                            </a:duotone>
                          </a:blip>
                          <a:stretch>
                            <a:fillRect/>
                          </a:stretch>
                        </pic:blipFill>
                        <pic:spPr>
                          <a:xfrm>
                            <a:off x="0" y="0"/>
                            <a:ext cx="5127817" cy="3175849"/>
                          </a:xfrm>
                          <a:prstGeom prst="rect">
                            <a:avLst/>
                          </a:prstGeom>
                        </pic:spPr>
                      </pic:pic>
                    </a:graphicData>
                  </a:graphic>
                </wp:inline>
              </w:drawing>
            </w:r>
          </w:p>
          <w:p w:rsidR="00126779" w:rsidRPr="006A368A" w:rsidRDefault="00126779" w:rsidP="00126779">
            <w:pPr>
              <w:rPr>
                <w:rFonts w:eastAsia="Calibri" w:cs="Calibri"/>
                <w:noProof/>
                <w:color w:val="000000"/>
                <w:sz w:val="10"/>
                <w:szCs w:val="10"/>
                <w:lang w:eastAsia="en-GB"/>
              </w:rPr>
            </w:pPr>
          </w:p>
          <w:p w:rsidR="00126779" w:rsidRPr="00283314" w:rsidRDefault="00126779" w:rsidP="00126779">
            <w:pPr>
              <w:ind w:left="142" w:right="95"/>
              <w:jc w:val="both"/>
              <w:rPr>
                <w:rFonts w:eastAsia="Calibri" w:cs="Calibri"/>
                <w:noProof/>
                <w:color w:val="000000"/>
                <w:szCs w:val="22"/>
                <w:lang w:eastAsia="en-GB"/>
              </w:rPr>
            </w:pPr>
            <w:r w:rsidRPr="00417CFB">
              <w:rPr>
                <w:rFonts w:eastAsia="Calibri" w:cs="Calibri"/>
                <w:noProof/>
                <w:color w:val="000000"/>
                <w:sz w:val="20"/>
                <w:szCs w:val="22"/>
                <w:lang w:eastAsia="en-GB"/>
              </w:rPr>
              <w:t>Oxford is currently in the middle of a new and distinct period of rapid population growth, adding around 15,000 people per decade. Oxford’s population grew by 12% from 2001-2011, making it the sixth fastest growing English city. Oxford’s population is projected to increase by another 13,000 people by 2021.</w:t>
            </w:r>
          </w:p>
        </w:tc>
      </w:tr>
    </w:tbl>
    <w:tbl>
      <w:tblPr>
        <w:tblStyle w:val="TableGrid20"/>
        <w:tblpPr w:leftFromText="180" w:rightFromText="180" w:vertAnchor="text" w:horzAnchor="page" w:tblpX="583" w:tblpY="-652"/>
        <w:tblW w:w="0" w:type="auto"/>
        <w:tblLook w:val="04A0" w:firstRow="1" w:lastRow="0" w:firstColumn="1" w:lastColumn="0" w:noHBand="0" w:noVBand="1"/>
      </w:tblPr>
      <w:tblGrid>
        <w:gridCol w:w="252"/>
      </w:tblGrid>
      <w:tr w:rsidR="00126779" w:rsidRPr="00283314" w:rsidTr="00126779">
        <w:trPr>
          <w:trHeight w:val="156"/>
        </w:trPr>
        <w:tc>
          <w:tcPr>
            <w:tcW w:w="252" w:type="dxa"/>
            <w:tcBorders>
              <w:top w:val="nil"/>
              <w:left w:val="nil"/>
              <w:bottom w:val="nil"/>
              <w:right w:val="nil"/>
            </w:tcBorders>
          </w:tcPr>
          <w:p w:rsidR="00126779" w:rsidRPr="00283314" w:rsidRDefault="00126779" w:rsidP="00126779">
            <w:pPr>
              <w:tabs>
                <w:tab w:val="left" w:pos="567"/>
              </w:tabs>
              <w:spacing w:after="200"/>
              <w:jc w:val="both"/>
              <w:rPr>
                <w:rFonts w:eastAsia="Calibri" w:cs="Times New Roman"/>
                <w:sz w:val="24"/>
              </w:rPr>
            </w:pPr>
          </w:p>
        </w:tc>
      </w:tr>
    </w:tbl>
    <w:bookmarkStart w:id="28" w:name="_Toc529178358"/>
    <w:p w:rsidR="00126779" w:rsidRPr="00283314" w:rsidRDefault="00126779" w:rsidP="00126779">
      <w:pPr>
        <w:outlineLvl w:val="1"/>
        <w:rPr>
          <w:rFonts w:asciiTheme="minorHAnsi" w:hAnsiTheme="minorHAnsi"/>
          <w:b/>
          <w:sz w:val="24"/>
          <w:lang w:eastAsia="en-GB"/>
        </w:rPr>
      </w:pPr>
      <w:r w:rsidRPr="0028331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86912" behindDoc="1" locked="0" layoutInCell="1" allowOverlap="1" wp14:anchorId="37385DEE" wp14:editId="0878576B">
                <wp:simplePos x="0" y="0"/>
                <wp:positionH relativeFrom="column">
                  <wp:posOffset>-38100</wp:posOffset>
                </wp:positionH>
                <wp:positionV relativeFrom="paragraph">
                  <wp:posOffset>-1</wp:posOffset>
                </wp:positionV>
                <wp:extent cx="5776595" cy="1457325"/>
                <wp:effectExtent l="0" t="0" r="0" b="9525"/>
                <wp:wrapNone/>
                <wp:docPr id="253" name="Rectangle 253"/>
                <wp:cNvGraphicFramePr/>
                <a:graphic xmlns:a="http://schemas.openxmlformats.org/drawingml/2006/main">
                  <a:graphicData uri="http://schemas.microsoft.com/office/word/2010/wordprocessingShape">
                    <wps:wsp>
                      <wps:cNvSpPr/>
                      <wps:spPr>
                        <a:xfrm>
                          <a:off x="0" y="0"/>
                          <a:ext cx="5776595" cy="145732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E52DE4" id="Rectangle 253" o:spid="_x0000_s1026" style="position:absolute;margin-left:-3pt;margin-top:0;width:454.85pt;height:11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" fillcolor="#f2dcdb" stroked="f" strokeweight="2pt"/>
            </w:pict>
          </mc:Fallback>
        </mc:AlternateContent>
      </w:r>
      <w:r w:rsidRPr="00283314">
        <w:rPr>
          <w:rFonts w:asciiTheme="minorHAnsi" w:hAnsiTheme="minorHAnsi"/>
          <w:b/>
          <w:sz w:val="24"/>
          <w:lang w:eastAsia="en-GB"/>
        </w:rPr>
        <w:t>Indicator 21: REGENERATION AREAS</w:t>
      </w:r>
      <w:bookmarkEnd w:id="28"/>
      <w:r w:rsidRPr="00283314">
        <w:rPr>
          <w:rFonts w:asciiTheme="minorHAnsi" w:hAnsiTheme="minorHAnsi"/>
          <w:b/>
          <w:sz w:val="24"/>
          <w:lang w:eastAsia="en-GB"/>
        </w:rPr>
        <w:t xml:space="preserve"> </w:t>
      </w:r>
    </w:p>
    <w:p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rsidR="00126779" w:rsidRPr="00283314" w:rsidRDefault="00126779" w:rsidP="00126779">
      <w:pPr>
        <w:autoSpaceDE w:val="0"/>
        <w:autoSpaceDN w:val="0"/>
        <w:adjustRightInd w:val="0"/>
        <w:jc w:val="both"/>
        <w:rPr>
          <w:rFonts w:eastAsia="Calibri" w:cs="Calibri"/>
          <w:b/>
          <w:color w:val="632423" w:themeColor="accent2" w:themeShade="80"/>
          <w:szCs w:val="22"/>
        </w:rPr>
      </w:pPr>
      <w:r w:rsidRPr="00283314">
        <w:rPr>
          <w:rFonts w:eastAsia="Calibri" w:cs="Calibri"/>
          <w:b/>
          <w:color w:val="632423" w:themeColor="accent2" w:themeShade="80"/>
          <w:szCs w:val="22"/>
        </w:rPr>
        <w:t xml:space="preserve">Target: Individual targets have been set for each priority regeneration area </w:t>
      </w:r>
    </w:p>
    <w:p w:rsidR="00126779" w:rsidRPr="00283314" w:rsidRDefault="00126779" w:rsidP="00126779">
      <w:pPr>
        <w:autoSpaceDE w:val="0"/>
        <w:autoSpaceDN w:val="0"/>
        <w:adjustRightInd w:val="0"/>
        <w:ind w:firstLine="72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CS3)</w:t>
      </w:r>
    </w:p>
    <w:p w:rsidR="00126779" w:rsidRPr="00283314" w:rsidRDefault="00126779" w:rsidP="00126779">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83314" w:rsidTr="00126779">
        <w:trPr>
          <w:trHeight w:val="218"/>
        </w:trPr>
        <w:tc>
          <w:tcPr>
            <w:tcW w:w="5420" w:type="dxa"/>
          </w:tcPr>
          <w:p w:rsidR="00126779" w:rsidRPr="00283314" w:rsidRDefault="00126779" w:rsidP="00126779">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2017/18</w:t>
            </w:r>
            <w:r w:rsidRPr="00283314">
              <w:rPr>
                <w:rFonts w:cs="Calibri"/>
                <w:b/>
                <w:color w:val="632423" w:themeColor="accent2" w:themeShade="80"/>
                <w:szCs w:val="22"/>
              </w:rPr>
              <w:t>:</w:t>
            </w:r>
          </w:p>
        </w:tc>
        <w:tc>
          <w:tcPr>
            <w:tcW w:w="3714" w:type="dxa"/>
            <w:gridSpan w:val="2"/>
          </w:tcPr>
          <w:p w:rsidR="00126779" w:rsidRPr="00283314" w:rsidRDefault="00126779" w:rsidP="00126779">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126779" w:rsidRPr="00283314" w:rsidTr="00126779">
        <w:tc>
          <w:tcPr>
            <w:tcW w:w="5420" w:type="dxa"/>
            <w:vMerge w:val="restart"/>
          </w:tcPr>
          <w:p w:rsidR="00126779" w:rsidRPr="009664CC" w:rsidRDefault="00126779" w:rsidP="00126779">
            <w:pPr>
              <w:autoSpaceDE w:val="0"/>
              <w:autoSpaceDN w:val="0"/>
              <w:adjustRightInd w:val="0"/>
              <w:jc w:val="center"/>
              <w:rPr>
                <w:rFonts w:cs="Calibri"/>
                <w:b/>
                <w:color w:val="632423" w:themeColor="accent2" w:themeShade="80"/>
                <w:sz w:val="8"/>
                <w:szCs w:val="6"/>
              </w:rPr>
            </w:pPr>
          </w:p>
          <w:p w:rsidR="00126779" w:rsidRPr="00283314" w:rsidRDefault="00126779" w:rsidP="00126779">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0BBE6330" wp14:editId="21EFEE93">
                  <wp:extent cx="1388853" cy="418201"/>
                  <wp:effectExtent l="0" t="0" r="1905" b="1270"/>
                  <wp:docPr id="259" name="Picture 2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126779" w:rsidRPr="00283314" w:rsidRDefault="00126779" w:rsidP="00126779">
            <w:pPr>
              <w:autoSpaceDE w:val="0"/>
              <w:autoSpaceDN w:val="0"/>
              <w:adjustRightInd w:val="0"/>
              <w:jc w:val="center"/>
              <w:rPr>
                <w:rFonts w:cs="Calibri"/>
                <w:b/>
                <w:color w:val="632423" w:themeColor="accent2" w:themeShade="80"/>
                <w:szCs w:val="22"/>
              </w:rPr>
            </w:pPr>
          </w:p>
        </w:tc>
        <w:tc>
          <w:tcPr>
            <w:tcW w:w="1101" w:type="dxa"/>
          </w:tcPr>
          <w:p w:rsidR="00126779" w:rsidRPr="00283314" w:rsidRDefault="00126779"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126779" w:rsidRPr="00283314" w:rsidRDefault="00126779" w:rsidP="00126779">
            <w:pPr>
              <w:autoSpaceDE w:val="0"/>
              <w:autoSpaceDN w:val="0"/>
              <w:adjustRightInd w:val="0"/>
              <w:rPr>
                <w:rFonts w:cs="Calibri"/>
                <w:b/>
                <w:color w:val="632423" w:themeColor="accent2" w:themeShade="80"/>
                <w:sz w:val="24"/>
              </w:rPr>
            </w:pPr>
            <w:r>
              <w:rPr>
                <w:rFonts w:cs="Calibri"/>
                <w:b/>
                <w:noProof/>
                <w:color w:val="632423" w:themeColor="accent2" w:themeShade="80"/>
                <w:sz w:val="24"/>
                <w:lang w:eastAsia="en-GB"/>
              </w:rPr>
              <w:drawing>
                <wp:inline distT="0" distB="0" distL="0" distR="0" wp14:anchorId="0CA0317B" wp14:editId="7896F85F">
                  <wp:extent cx="822960" cy="24888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rsidR="00126779" w:rsidRPr="00283314" w:rsidRDefault="00126779" w:rsidP="00126779">
            <w:pPr>
              <w:autoSpaceDE w:val="0"/>
              <w:autoSpaceDN w:val="0"/>
              <w:adjustRightInd w:val="0"/>
              <w:jc w:val="center"/>
              <w:rPr>
                <w:rFonts w:cs="Calibri"/>
                <w:b/>
                <w:color w:val="632423" w:themeColor="accent2" w:themeShade="80"/>
                <w:sz w:val="8"/>
                <w:szCs w:val="8"/>
              </w:rPr>
            </w:pPr>
          </w:p>
        </w:tc>
      </w:tr>
      <w:tr w:rsidR="00126779" w:rsidRPr="00283314" w:rsidTr="00126779">
        <w:tc>
          <w:tcPr>
            <w:tcW w:w="5420" w:type="dxa"/>
            <w:vMerge/>
          </w:tcPr>
          <w:p w:rsidR="00126779" w:rsidRPr="00283314" w:rsidRDefault="00126779" w:rsidP="00126779">
            <w:pPr>
              <w:autoSpaceDE w:val="0"/>
              <w:autoSpaceDN w:val="0"/>
              <w:adjustRightInd w:val="0"/>
              <w:jc w:val="center"/>
              <w:rPr>
                <w:rFonts w:cs="Calibri"/>
                <w:b/>
                <w:color w:val="632423" w:themeColor="accent2" w:themeShade="80"/>
                <w:sz w:val="24"/>
              </w:rPr>
            </w:pPr>
          </w:p>
        </w:tc>
        <w:tc>
          <w:tcPr>
            <w:tcW w:w="1101" w:type="dxa"/>
          </w:tcPr>
          <w:p w:rsidR="00126779" w:rsidRPr="00283314" w:rsidRDefault="00126779"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52C359A9" wp14:editId="2B5379B1">
                  <wp:extent cx="819509" cy="255580"/>
                  <wp:effectExtent l="0" t="0" r="0" b="0"/>
                  <wp:docPr id="261" name="Picture 26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126779" w:rsidRPr="009664CC" w:rsidRDefault="00126779" w:rsidP="00126779">
      <w:pPr>
        <w:rPr>
          <w:rFonts w:ascii="Arial" w:hAnsi="Arial"/>
          <w:color w:val="632423" w:themeColor="accent2" w:themeShade="80"/>
          <w:sz w:val="18"/>
          <w:szCs w:val="22"/>
        </w:rPr>
      </w:pPr>
    </w:p>
    <w:p w:rsidR="00126779" w:rsidRPr="00283314" w:rsidRDefault="00126779" w:rsidP="00126779">
      <w:pPr>
        <w:numPr>
          <w:ilvl w:val="0"/>
          <w:numId w:val="6"/>
        </w:numPr>
        <w:tabs>
          <w:tab w:val="left" w:pos="567"/>
        </w:tabs>
        <w:spacing w:after="200" w:line="276" w:lineRule="auto"/>
        <w:ind w:left="567" w:hanging="567"/>
        <w:jc w:val="both"/>
        <w:rPr>
          <w:rFonts w:eastAsia="Calibri" w:cs="Times New Roman"/>
        </w:rPr>
      </w:pPr>
      <w:r w:rsidRPr="00486D28">
        <w:rPr>
          <w:rFonts w:eastAsia="Calibri" w:cs="Times New Roman"/>
        </w:rPr>
        <w:t xml:space="preserve">The Core Strategy identifies five priority areas for regeneration: Barton; Blackbird Leys; Northway; Rose Hill; and Wood Farm. Physical regeneration is to be housing led, with a focus on improving the quality and mix of housing. Individual targets have been set for each of the priority areas based upon their specific circumstances (Table </w:t>
      </w:r>
      <w:r>
        <w:rPr>
          <w:rFonts w:eastAsia="Calibri" w:cs="Times New Roman"/>
        </w:rPr>
        <w:t>21</w:t>
      </w:r>
      <w:r w:rsidRPr="00486D28">
        <w:rPr>
          <w:rFonts w:eastAsia="Calibri" w:cs="Times New Roman"/>
        </w:rPr>
        <w:t xml:space="preserve">). </w:t>
      </w:r>
    </w:p>
    <w:tbl>
      <w:tblPr>
        <w:tblStyle w:val="TableGrid20"/>
        <w:tblW w:w="0" w:type="auto"/>
        <w:tblInd w:w="14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76"/>
        <w:gridCol w:w="3700"/>
        <w:gridCol w:w="3024"/>
      </w:tblGrid>
      <w:tr w:rsidR="00126779" w:rsidRPr="00283314" w:rsidTr="00126779">
        <w:tc>
          <w:tcPr>
            <w:tcW w:w="9100" w:type="dxa"/>
            <w:gridSpan w:val="3"/>
            <w:shd w:val="clear" w:color="auto" w:fill="943634" w:themeFill="accent2" w:themeFillShade="BF"/>
          </w:tcPr>
          <w:p w:rsidR="00126779" w:rsidRPr="000A22A4" w:rsidRDefault="00126779" w:rsidP="00126779">
            <w:pPr>
              <w:rPr>
                <w:rFonts w:asciiTheme="minorHAnsi" w:hAnsiTheme="minorHAnsi" w:cstheme="minorHAnsi"/>
                <w:sz w:val="20"/>
                <w:szCs w:val="20"/>
              </w:rPr>
            </w:pPr>
            <w:r>
              <w:rPr>
                <w:rFonts w:asciiTheme="minorHAnsi" w:eastAsia="Calibri" w:hAnsiTheme="minorHAnsi" w:cstheme="minorHAnsi"/>
                <w:b/>
                <w:color w:val="FFFFFF" w:themeColor="background1"/>
                <w:sz w:val="20"/>
                <w:szCs w:val="20"/>
              </w:rPr>
              <w:t>Regeneration Area Monitoring</w:t>
            </w:r>
          </w:p>
        </w:tc>
      </w:tr>
      <w:tr w:rsidR="00126779" w:rsidRPr="00283314" w:rsidTr="00126779">
        <w:tc>
          <w:tcPr>
            <w:tcW w:w="2376" w:type="dxa"/>
            <w:shd w:val="clear" w:color="auto" w:fill="E5B8B7" w:themeFill="accent2" w:themeFillTint="66"/>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Indicator</w:t>
            </w:r>
          </w:p>
        </w:tc>
        <w:tc>
          <w:tcPr>
            <w:tcW w:w="3700" w:type="dxa"/>
            <w:shd w:val="clear" w:color="auto" w:fill="E5B8B7" w:themeFill="accent2" w:themeFillTint="66"/>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Target</w:t>
            </w:r>
          </w:p>
        </w:tc>
        <w:tc>
          <w:tcPr>
            <w:tcW w:w="3024" w:type="dxa"/>
            <w:shd w:val="clear" w:color="auto" w:fill="E5B8B7" w:themeFill="accent2" w:themeFillTint="66"/>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Progress to date</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Extent of deprivation in Oxford relative to all areas nationally</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number of super output areas (SOAs) in Oxford that fall amongst the 20% most deprived in England</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Baseline (2007) . . . . . . . . . . . . . . . .10 SOAs</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Target 1 (2016) . . . . . . . .Less than 10 SOAs Target 2 (2026) . . . Less SOAs than in 2016 </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The English Indices of Deprivation 2015 identified 10 SOAs in Oxford that are amongst the 20% most deprived areas in England. These areas are in the Leys, Littlemore, Rose Hill and Barton.</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Timely progression of regeneration action plans</w:t>
            </w:r>
          </w:p>
          <w:p w:rsidR="00126779" w:rsidRPr="00933C84" w:rsidRDefault="00126779" w:rsidP="00126779">
            <w:pPr>
              <w:rPr>
                <w:rFonts w:asciiTheme="minorHAnsi" w:hAnsiTheme="minorHAnsi" w:cstheme="minorHAnsi"/>
                <w:color w:val="262626" w:themeColor="text1" w:themeTint="D9"/>
                <w:sz w:val="20"/>
                <w:szCs w:val="20"/>
              </w:rPr>
            </w:pPr>
            <w:proofErr w:type="gramStart"/>
            <w:r w:rsidRPr="00933C84">
              <w:rPr>
                <w:rFonts w:asciiTheme="minorHAnsi" w:hAnsiTheme="minorHAnsi" w:cstheme="minorHAnsi"/>
                <w:color w:val="262626" w:themeColor="text1" w:themeTint="D9"/>
                <w:sz w:val="20"/>
                <w:szCs w:val="20"/>
              </w:rPr>
              <w:t>for</w:t>
            </w:r>
            <w:proofErr w:type="gramEnd"/>
            <w:r w:rsidRPr="00933C84">
              <w:rPr>
                <w:rFonts w:asciiTheme="minorHAnsi" w:hAnsiTheme="minorHAnsi" w:cstheme="minorHAnsi"/>
                <w:color w:val="262626" w:themeColor="text1" w:themeTint="D9"/>
                <w:sz w:val="20"/>
                <w:szCs w:val="20"/>
              </w:rPr>
              <w:t xml:space="preserve"> each area</w:t>
            </w:r>
            <w:r>
              <w:rPr>
                <w:rFonts w:asciiTheme="minorHAnsi" w:hAnsiTheme="minorHAnsi" w:cstheme="minorHAnsi"/>
                <w:color w:val="262626" w:themeColor="text1" w:themeTint="D9"/>
                <w:sz w:val="20"/>
                <w:szCs w:val="20"/>
              </w:rPr>
              <w:t>.</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 regeneration action plans in conjunction with other departments.</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(Timetable to be agreed corporately.)</w:t>
            </w:r>
          </w:p>
        </w:tc>
        <w:tc>
          <w:tcPr>
            <w:tcW w:w="3024" w:type="dxa"/>
          </w:tcPr>
          <w:p w:rsidR="00126779" w:rsidRPr="00901E0C"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To be taken forward by Neighbourhood/Community Partnerships.</w:t>
            </w:r>
          </w:p>
        </w:tc>
      </w:tr>
      <w:tr w:rsidR="00126779" w:rsidRPr="00283314" w:rsidTr="00126779">
        <w:tc>
          <w:tcPr>
            <w:tcW w:w="9100" w:type="dxa"/>
            <w:gridSpan w:val="3"/>
            <w:shd w:val="clear" w:color="auto" w:fill="F2DBDB" w:themeFill="accent2" w:themeFillTint="33"/>
          </w:tcPr>
          <w:p w:rsidR="00126779" w:rsidRPr="00901E0C"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Barton</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the sense of isolation from the rest of the city</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Provision of new footbridge across the A40 and/or improvements to existing underpass by 2015/16.</w:t>
            </w:r>
          </w:p>
        </w:tc>
        <w:tc>
          <w:tcPr>
            <w:tcW w:w="3024" w:type="dxa"/>
          </w:tcPr>
          <w:p w:rsidR="00126779" w:rsidRPr="00901E0C"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To be delivered as part of the Barton Park development. See Indicator 23.</w:t>
            </w:r>
          </w:p>
        </w:tc>
      </w:tr>
      <w:tr w:rsidR="00126779" w:rsidRPr="00283314" w:rsidTr="00126779">
        <w:tc>
          <w:tcPr>
            <w:tcW w:w="2376" w:type="dxa"/>
            <w:vMerge w:val="restart"/>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‘Investing in Barton’: improvements to blocks of flats and the Community Centre; enhancement of the street environment; improvements to security and redevelopment of Underhill Circus.  </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Three year programme of improvements to low rise blocks.</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 xml:space="preserve">Permission was granted in December 2016 for improvements to flats on </w:t>
            </w:r>
            <w:proofErr w:type="spellStart"/>
            <w:r w:rsidRPr="00933C84">
              <w:rPr>
                <w:rFonts w:asciiTheme="minorHAnsi" w:hAnsiTheme="minorHAnsi" w:cstheme="minorHAnsi"/>
                <w:color w:val="262626" w:themeColor="text1" w:themeTint="D9"/>
                <w:sz w:val="20"/>
                <w:szCs w:val="20"/>
              </w:rPr>
              <w:t>Stowford</w:t>
            </w:r>
            <w:proofErr w:type="spellEnd"/>
            <w:r w:rsidRPr="00933C84">
              <w:rPr>
                <w:rFonts w:asciiTheme="minorHAnsi" w:hAnsiTheme="minorHAnsi" w:cstheme="minorHAnsi"/>
                <w:color w:val="262626" w:themeColor="text1" w:themeTint="D9"/>
                <w:sz w:val="20"/>
                <w:szCs w:val="20"/>
              </w:rPr>
              <w:t xml:space="preserve"> Road and Bayswater Road and work commenced in early 2017</w:t>
            </w:r>
            <w:r>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vertAlign w:val="superscript"/>
              </w:rPr>
              <w:footnoteReference w:id="32"/>
            </w:r>
            <w:r w:rsidRPr="00933C84">
              <w:rPr>
                <w:rFonts w:asciiTheme="minorHAnsi" w:hAnsiTheme="minorHAnsi" w:cstheme="minorHAnsi"/>
                <w:color w:val="262626" w:themeColor="text1" w:themeTint="D9"/>
                <w:sz w:val="20"/>
                <w:szCs w:val="20"/>
              </w:rPr>
              <w:t xml:space="preserve"> Permission was granted in January 2017 for improvements to flats on Barton Road</w:t>
            </w:r>
            <w:r>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vertAlign w:val="superscript"/>
              </w:rPr>
              <w:footnoteReference w:id="33"/>
            </w:r>
            <w:r w:rsidRPr="00933C84">
              <w:rPr>
                <w:rFonts w:asciiTheme="minorHAnsi" w:hAnsiTheme="minorHAnsi" w:cstheme="minorHAnsi"/>
                <w:color w:val="262626" w:themeColor="text1" w:themeTint="D9"/>
                <w:sz w:val="20"/>
                <w:szCs w:val="20"/>
              </w:rPr>
              <w:t xml:space="preserve"> </w:t>
            </w:r>
            <w:r>
              <w:rPr>
                <w:rFonts w:asciiTheme="minorHAnsi" w:hAnsiTheme="minorHAnsi" w:cstheme="minorHAnsi"/>
                <w:color w:val="262626" w:themeColor="text1" w:themeTint="D9"/>
                <w:sz w:val="20"/>
                <w:szCs w:val="20"/>
              </w:rPr>
              <w:t xml:space="preserve">A further application was submitted in February 2018 for improvements to flats on </w:t>
            </w:r>
            <w:proofErr w:type="spellStart"/>
            <w:r>
              <w:rPr>
                <w:rFonts w:asciiTheme="minorHAnsi" w:hAnsiTheme="minorHAnsi" w:cstheme="minorHAnsi"/>
                <w:color w:val="262626" w:themeColor="text1" w:themeTint="D9"/>
                <w:sz w:val="20"/>
                <w:szCs w:val="20"/>
              </w:rPr>
              <w:t>Stowford</w:t>
            </w:r>
            <w:proofErr w:type="spellEnd"/>
            <w:r>
              <w:rPr>
                <w:rFonts w:asciiTheme="minorHAnsi" w:hAnsiTheme="minorHAnsi" w:cstheme="minorHAnsi"/>
                <w:color w:val="262626" w:themeColor="text1" w:themeTint="D9"/>
                <w:sz w:val="20"/>
                <w:szCs w:val="20"/>
              </w:rPr>
              <w:t xml:space="preserve"> Road to be determined in May 2017. </w:t>
            </w:r>
          </w:p>
        </w:tc>
      </w:tr>
      <w:tr w:rsidR="00126779" w:rsidRPr="00283314" w:rsidTr="00126779">
        <w:tc>
          <w:tcPr>
            <w:tcW w:w="2376" w:type="dxa"/>
            <w:vMerge/>
          </w:tcPr>
          <w:p w:rsidR="00126779" w:rsidRPr="00933C84" w:rsidRDefault="00126779" w:rsidP="00126779">
            <w:pPr>
              <w:rPr>
                <w:rFonts w:asciiTheme="minorHAnsi" w:hAnsiTheme="minorHAnsi" w:cstheme="minorHAnsi"/>
                <w:color w:val="262626" w:themeColor="text1" w:themeTint="D9"/>
                <w:sz w:val="20"/>
                <w:szCs w:val="20"/>
              </w:rPr>
            </w:pP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Improvements to Barton Neighbourhood Centre. </w:t>
            </w:r>
          </w:p>
        </w:tc>
        <w:tc>
          <w:tcPr>
            <w:tcW w:w="3024"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Improvement works to Barton Neighbourhood Centre will include extending the existing health centre to provide health facilities for residents of Barton and Barton Park. An application for change of use from offices to use as a health centre was </w:t>
            </w:r>
            <w:r w:rsidRPr="00933C84">
              <w:rPr>
                <w:rFonts w:asciiTheme="minorHAnsi" w:hAnsiTheme="minorHAnsi" w:cstheme="minorHAnsi"/>
                <w:color w:val="262626" w:themeColor="text1" w:themeTint="D9"/>
                <w:sz w:val="20"/>
                <w:szCs w:val="20"/>
              </w:rPr>
              <w:lastRenderedPageBreak/>
              <w:t>prepared in Spring 2017 ready for submission in June 2017</w:t>
            </w:r>
            <w:r>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vertAlign w:val="superscript"/>
              </w:rPr>
              <w:footnoteReference w:id="34"/>
            </w:r>
            <w:r w:rsidRPr="00933C84">
              <w:rPr>
                <w:rFonts w:asciiTheme="minorHAnsi" w:hAnsiTheme="minorHAnsi" w:cstheme="minorHAnsi"/>
                <w:color w:val="262626" w:themeColor="text1" w:themeTint="D9"/>
                <w:sz w:val="20"/>
                <w:szCs w:val="20"/>
              </w:rPr>
              <w:t xml:space="preserve"> </w:t>
            </w:r>
            <w:r>
              <w:rPr>
                <w:rFonts w:asciiTheme="minorHAnsi" w:hAnsiTheme="minorHAnsi" w:cstheme="minorHAnsi"/>
                <w:color w:val="262626" w:themeColor="text1" w:themeTint="D9"/>
                <w:sz w:val="20"/>
                <w:szCs w:val="20"/>
              </w:rPr>
              <w:t>The application was approved in August 2017 and work commenced in September 2017.</w:t>
            </w:r>
          </w:p>
        </w:tc>
      </w:tr>
      <w:tr w:rsidR="00126779" w:rsidRPr="00283314" w:rsidTr="00126779">
        <w:tc>
          <w:tcPr>
            <w:tcW w:w="2376" w:type="dxa"/>
            <w:vMerge/>
          </w:tcPr>
          <w:p w:rsidR="00126779" w:rsidRPr="00933C84" w:rsidRDefault="00126779" w:rsidP="00126779">
            <w:pPr>
              <w:rPr>
                <w:rFonts w:asciiTheme="minorHAnsi" w:hAnsiTheme="minorHAnsi" w:cstheme="minorHAnsi"/>
                <w:color w:val="262626" w:themeColor="text1" w:themeTint="D9"/>
                <w:sz w:val="20"/>
                <w:szCs w:val="20"/>
              </w:rPr>
            </w:pP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Underhill Circus. </w:t>
            </w:r>
          </w:p>
        </w:tc>
        <w:tc>
          <w:tcPr>
            <w:tcW w:w="3024"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Work is in its early stages to work up proposals for the redevelopment of Underhill Circus. Initial design ideas have been drawn up and the City Council are working with the community to develop a proposal. </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Healthy New Towns Project.</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Work with partners at Grosvenor, Oxfordshire Clinical Commissioning Group and Oxfordshire County Council Public Health towards delivering equal opportunities to good physical and mental health through the planning system.</w:t>
            </w:r>
          </w:p>
        </w:tc>
        <w:tc>
          <w:tcPr>
            <w:tcW w:w="3024"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A health impact assessment to identify retrospective enhancements at Barton Park and proactive recommendations for Underhill Circus and the Barton Healthy Living Centre was completed in January 2017. Barton Healthy New Town is part of the Town and Country Planning Association’s Developer and Wellbeing national programme. </w:t>
            </w:r>
          </w:p>
        </w:tc>
      </w:tr>
      <w:tr w:rsidR="00126779" w:rsidRPr="00283314" w:rsidTr="00126779">
        <w:tc>
          <w:tcPr>
            <w:tcW w:w="9100" w:type="dxa"/>
            <w:gridSpan w:val="3"/>
            <w:shd w:val="clear" w:color="auto" w:fill="F2DBDB" w:themeFill="accent2" w:themeFillTint="33"/>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Blackbird Leys</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Improve the centre to create a mixed-use district centre</w:t>
            </w:r>
          </w:p>
        </w:tc>
        <w:tc>
          <w:tcPr>
            <w:tcW w:w="3700" w:type="dxa"/>
          </w:tcPr>
          <w:p w:rsidR="00126779" w:rsidRPr="00933C84" w:rsidRDefault="009B07AB"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District centre regeneration.</w:t>
            </w:r>
          </w:p>
        </w:tc>
        <w:tc>
          <w:tcPr>
            <w:tcW w:w="3024" w:type="dxa"/>
          </w:tcPr>
          <w:p w:rsidR="00126779" w:rsidRPr="00933C84" w:rsidRDefault="009B07AB"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 xml:space="preserve">The Council advertised for potential builders in September 2017. Developers were appointed in September 2018 to take forward the master-planning and development of council-owned sites in Blackbird Leys. The scheme will deliver a new district centre, new homes – including affordable homes – and new community facilities. </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Investigate the future of </w:t>
            </w:r>
            <w:proofErr w:type="spellStart"/>
            <w:r w:rsidRPr="00933C84">
              <w:rPr>
                <w:rFonts w:asciiTheme="minorHAnsi" w:hAnsiTheme="minorHAnsi" w:cstheme="minorHAnsi"/>
                <w:color w:val="262626" w:themeColor="text1" w:themeTint="D9"/>
                <w:sz w:val="20"/>
                <w:szCs w:val="20"/>
              </w:rPr>
              <w:t>Windrush</w:t>
            </w:r>
            <w:proofErr w:type="spellEnd"/>
            <w:r w:rsidRPr="00933C84">
              <w:rPr>
                <w:rFonts w:asciiTheme="minorHAnsi" w:hAnsiTheme="minorHAnsi" w:cstheme="minorHAnsi"/>
                <w:color w:val="262626" w:themeColor="text1" w:themeTint="D9"/>
                <w:sz w:val="20"/>
                <w:szCs w:val="20"/>
              </w:rPr>
              <w:t xml:space="preserve"> and </w:t>
            </w:r>
            <w:proofErr w:type="spellStart"/>
            <w:r w:rsidRPr="00933C84">
              <w:rPr>
                <w:rFonts w:asciiTheme="minorHAnsi" w:hAnsiTheme="minorHAnsi" w:cstheme="minorHAnsi"/>
                <w:color w:val="262626" w:themeColor="text1" w:themeTint="D9"/>
                <w:sz w:val="20"/>
                <w:szCs w:val="20"/>
              </w:rPr>
              <w:t>Evenlode</w:t>
            </w:r>
            <w:proofErr w:type="spellEnd"/>
            <w:r w:rsidRPr="00933C84">
              <w:rPr>
                <w:rFonts w:asciiTheme="minorHAnsi" w:hAnsiTheme="minorHAnsi" w:cstheme="minorHAnsi"/>
                <w:color w:val="262626" w:themeColor="text1" w:themeTint="D9"/>
                <w:sz w:val="20"/>
                <w:szCs w:val="20"/>
              </w:rPr>
              <w:t xml:space="preserve"> tower blocks</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Undertake an options appraisal by 2011.</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in November 2014 (14/02641/FUL &amp; 14/02640/CT3). Work on both tower blocks commenced on site in early 2016</w:t>
            </w:r>
            <w:r>
              <w:rPr>
                <w:rFonts w:asciiTheme="minorHAnsi" w:hAnsiTheme="minorHAnsi" w:cstheme="minorHAnsi"/>
                <w:color w:val="262626" w:themeColor="text1" w:themeTint="D9"/>
                <w:sz w:val="20"/>
                <w:szCs w:val="20"/>
              </w:rPr>
              <w:t xml:space="preserve">. As a result of the Grenfell disaster in June 2017, both </w:t>
            </w:r>
            <w:proofErr w:type="spellStart"/>
            <w:r>
              <w:rPr>
                <w:rFonts w:asciiTheme="minorHAnsi" w:hAnsiTheme="minorHAnsi" w:cstheme="minorHAnsi"/>
                <w:color w:val="262626" w:themeColor="text1" w:themeTint="D9"/>
                <w:sz w:val="20"/>
                <w:szCs w:val="20"/>
              </w:rPr>
              <w:t>Evenlode</w:t>
            </w:r>
            <w:proofErr w:type="spellEnd"/>
            <w:r>
              <w:rPr>
                <w:rFonts w:asciiTheme="minorHAnsi" w:hAnsiTheme="minorHAnsi" w:cstheme="minorHAnsi"/>
                <w:color w:val="262626" w:themeColor="text1" w:themeTint="D9"/>
                <w:sz w:val="20"/>
                <w:szCs w:val="20"/>
              </w:rPr>
              <w:t xml:space="preserve"> and </w:t>
            </w:r>
            <w:proofErr w:type="spellStart"/>
            <w:r>
              <w:rPr>
                <w:rFonts w:asciiTheme="minorHAnsi" w:hAnsiTheme="minorHAnsi" w:cstheme="minorHAnsi"/>
                <w:color w:val="262626" w:themeColor="text1" w:themeTint="D9"/>
                <w:sz w:val="20"/>
                <w:szCs w:val="20"/>
              </w:rPr>
              <w:t>Windrush</w:t>
            </w:r>
            <w:proofErr w:type="spellEnd"/>
            <w:r>
              <w:rPr>
                <w:rFonts w:asciiTheme="minorHAnsi" w:hAnsiTheme="minorHAnsi" w:cstheme="minorHAnsi"/>
                <w:color w:val="262626" w:themeColor="text1" w:themeTint="D9"/>
                <w:sz w:val="20"/>
                <w:szCs w:val="20"/>
              </w:rPr>
              <w:t xml:space="preserve"> tower blocks have had their rain screen cladding replaced (</w:t>
            </w:r>
            <w:r w:rsidRPr="00297C09">
              <w:rPr>
                <w:rFonts w:asciiTheme="minorHAnsi" w:hAnsiTheme="minorHAnsi" w:cstheme="minorHAnsi"/>
                <w:color w:val="262626" w:themeColor="text1" w:themeTint="D9"/>
                <w:sz w:val="20"/>
                <w:szCs w:val="20"/>
              </w:rPr>
              <w:t>17/02391/VAR</w:t>
            </w:r>
            <w:r>
              <w:rPr>
                <w:rFonts w:asciiTheme="minorHAnsi" w:hAnsiTheme="minorHAnsi" w:cstheme="minorHAnsi"/>
                <w:color w:val="262626" w:themeColor="text1" w:themeTint="D9"/>
                <w:sz w:val="20"/>
                <w:szCs w:val="20"/>
              </w:rPr>
              <w:t xml:space="preserve"> &amp; </w:t>
            </w:r>
            <w:r w:rsidRPr="00297C09">
              <w:rPr>
                <w:rFonts w:asciiTheme="minorHAnsi" w:hAnsiTheme="minorHAnsi" w:cstheme="minorHAnsi"/>
                <w:color w:val="262626" w:themeColor="text1" w:themeTint="D9"/>
                <w:sz w:val="20"/>
                <w:szCs w:val="20"/>
              </w:rPr>
              <w:t>17/01792/VAR</w:t>
            </w:r>
            <w:r>
              <w:rPr>
                <w:rFonts w:asciiTheme="minorHAnsi" w:hAnsiTheme="minorHAnsi" w:cstheme="minorHAnsi"/>
                <w:color w:val="262626" w:themeColor="text1" w:themeTint="D9"/>
                <w:sz w:val="20"/>
                <w:szCs w:val="20"/>
              </w:rPr>
              <w:t>)</w:t>
            </w:r>
            <w:proofErr w:type="gramStart"/>
            <w:r>
              <w:rPr>
                <w:rFonts w:asciiTheme="minorHAnsi" w:hAnsiTheme="minorHAnsi" w:cstheme="minorHAnsi"/>
                <w:color w:val="262626" w:themeColor="text1" w:themeTint="D9"/>
                <w:sz w:val="20"/>
                <w:szCs w:val="20"/>
              </w:rPr>
              <w:t>.</w:t>
            </w:r>
            <w:proofErr w:type="gramEnd"/>
            <w:r>
              <w:rPr>
                <w:rFonts w:asciiTheme="minorHAnsi" w:hAnsiTheme="minorHAnsi" w:cstheme="minorHAnsi"/>
                <w:color w:val="262626" w:themeColor="text1" w:themeTint="D9"/>
                <w:sz w:val="20"/>
                <w:szCs w:val="20"/>
              </w:rPr>
              <w:t xml:space="preserve"> This work was completed in June 2018. </w:t>
            </w:r>
          </w:p>
        </w:tc>
      </w:tr>
      <w:tr w:rsidR="00126779" w:rsidRPr="00283314" w:rsidTr="00126779">
        <w:tc>
          <w:tcPr>
            <w:tcW w:w="9100" w:type="dxa"/>
            <w:gridSpan w:val="3"/>
            <w:shd w:val="clear" w:color="auto" w:fill="F2DBDB" w:themeFill="accent2" w:themeFillTint="33"/>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Northway</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Access across</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A40 linking</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safeguarded land at</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to Northway, for</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use by buses, pedestrians</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and cycles</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Implementation by substantial completion of residential development at Barton by 2013/14.</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To be delivered as part of the Barton Park development. See Indicator 23.</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 xml:space="preserve">Investigate the future use of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block and the surrounding area, plus the possible redevelopment of</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Northway offices</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Options appraisal for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block by 2010.</w:t>
            </w:r>
          </w:p>
          <w:p w:rsidR="00126779" w:rsidRPr="00933C84" w:rsidRDefault="00126779" w:rsidP="00126779">
            <w:pPr>
              <w:rPr>
                <w:rFonts w:asciiTheme="minorHAnsi" w:hAnsiTheme="minorHAnsi" w:cstheme="minorHAnsi"/>
                <w:color w:val="262626" w:themeColor="text1" w:themeTint="D9"/>
                <w:sz w:val="20"/>
                <w:szCs w:val="20"/>
              </w:rPr>
            </w:pPr>
          </w:p>
          <w:p w:rsidR="00126779" w:rsidRPr="00933C84" w:rsidRDefault="00126779" w:rsidP="00126779">
            <w:pPr>
              <w:rPr>
                <w:rFonts w:asciiTheme="minorHAnsi" w:hAnsiTheme="minorHAnsi" w:cstheme="minorHAnsi"/>
                <w:color w:val="262626" w:themeColor="text1" w:themeTint="D9"/>
                <w:sz w:val="20"/>
                <w:szCs w:val="20"/>
              </w:rPr>
            </w:pPr>
          </w:p>
          <w:p w:rsidR="00126779" w:rsidRPr="00933C84" w:rsidRDefault="00126779" w:rsidP="00126779">
            <w:pPr>
              <w:rPr>
                <w:rFonts w:asciiTheme="minorHAnsi" w:hAnsiTheme="minorHAnsi" w:cstheme="minorHAnsi"/>
                <w:color w:val="262626" w:themeColor="text1" w:themeTint="D9"/>
                <w:sz w:val="20"/>
                <w:szCs w:val="20"/>
              </w:rPr>
            </w:pPr>
          </w:p>
          <w:p w:rsidR="00126779" w:rsidRPr="00933C84" w:rsidRDefault="00126779" w:rsidP="00126779">
            <w:pPr>
              <w:rPr>
                <w:rFonts w:asciiTheme="minorHAnsi" w:hAnsiTheme="minorHAnsi" w:cstheme="minorHAnsi"/>
                <w:color w:val="262626" w:themeColor="text1" w:themeTint="D9"/>
                <w:sz w:val="20"/>
                <w:szCs w:val="20"/>
              </w:rPr>
            </w:pPr>
          </w:p>
          <w:p w:rsidR="00126779" w:rsidRPr="00933C84" w:rsidRDefault="00126779" w:rsidP="00126779">
            <w:pPr>
              <w:rPr>
                <w:rFonts w:asciiTheme="minorHAnsi" w:hAnsiTheme="minorHAnsi" w:cstheme="minorHAnsi"/>
                <w:color w:val="262626" w:themeColor="text1" w:themeTint="D9"/>
                <w:sz w:val="20"/>
                <w:szCs w:val="20"/>
              </w:rPr>
            </w:pP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Northway Offices starting by Dec 2009. </w:t>
            </w:r>
          </w:p>
        </w:tc>
        <w:tc>
          <w:tcPr>
            <w:tcW w:w="3024"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Planning permission granted for upgrade works to</w:t>
            </w:r>
            <w:r>
              <w:rPr>
                <w:rFonts w:asciiTheme="minorHAnsi" w:hAnsiTheme="minorHAnsi" w:cstheme="minorHAnsi"/>
                <w:color w:val="262626" w:themeColor="text1" w:themeTint="D9"/>
                <w:sz w:val="20"/>
                <w:szCs w:val="20"/>
              </w:rPr>
              <w:t xml:space="preserve"> </w:t>
            </w:r>
            <w:proofErr w:type="spellStart"/>
            <w:r>
              <w:rPr>
                <w:rFonts w:asciiTheme="minorHAnsi" w:hAnsiTheme="minorHAnsi" w:cstheme="minorHAnsi"/>
                <w:color w:val="262626" w:themeColor="text1" w:themeTint="D9"/>
                <w:sz w:val="20"/>
                <w:szCs w:val="20"/>
              </w:rPr>
              <w:t>Plowman</w:t>
            </w:r>
            <w:proofErr w:type="spellEnd"/>
            <w:r>
              <w:rPr>
                <w:rFonts w:asciiTheme="minorHAnsi" w:hAnsiTheme="minorHAnsi" w:cstheme="minorHAnsi"/>
                <w:color w:val="262626" w:themeColor="text1" w:themeTint="D9"/>
                <w:sz w:val="20"/>
                <w:szCs w:val="20"/>
              </w:rPr>
              <w:t xml:space="preserve"> Tower in November 2014 </w:t>
            </w:r>
            <w:r w:rsidRPr="00933C84">
              <w:rPr>
                <w:rFonts w:asciiTheme="minorHAnsi" w:hAnsiTheme="minorHAnsi" w:cstheme="minorHAnsi"/>
                <w:color w:val="262626" w:themeColor="text1" w:themeTint="D9"/>
                <w:sz w:val="20"/>
                <w:szCs w:val="20"/>
              </w:rPr>
              <w:t>(14/02642/CT3). Works commenced on site February 2017.</w:t>
            </w:r>
            <w:r>
              <w:rPr>
                <w:rFonts w:asciiTheme="minorHAnsi" w:hAnsiTheme="minorHAnsi" w:cstheme="minorHAnsi"/>
                <w:color w:val="262626" w:themeColor="text1" w:themeTint="D9"/>
                <w:sz w:val="20"/>
                <w:szCs w:val="20"/>
              </w:rPr>
              <w:t xml:space="preserve"> As a result of the Grenfell disaster in June 2017, the rain screen cladding on </w:t>
            </w:r>
            <w:proofErr w:type="spellStart"/>
            <w:r>
              <w:rPr>
                <w:rFonts w:asciiTheme="minorHAnsi" w:hAnsiTheme="minorHAnsi" w:cstheme="minorHAnsi"/>
                <w:color w:val="262626" w:themeColor="text1" w:themeTint="D9"/>
                <w:sz w:val="20"/>
                <w:szCs w:val="20"/>
              </w:rPr>
              <w:t>Plowman</w:t>
            </w:r>
            <w:proofErr w:type="spellEnd"/>
            <w:r>
              <w:rPr>
                <w:rFonts w:asciiTheme="minorHAnsi" w:hAnsiTheme="minorHAnsi" w:cstheme="minorHAnsi"/>
                <w:color w:val="262626" w:themeColor="text1" w:themeTint="D9"/>
                <w:sz w:val="20"/>
                <w:szCs w:val="20"/>
              </w:rPr>
              <w:t xml:space="preserve"> Tower has been replaced (17/01793</w:t>
            </w:r>
            <w:r w:rsidRPr="00297C09">
              <w:rPr>
                <w:rFonts w:asciiTheme="minorHAnsi" w:hAnsiTheme="minorHAnsi" w:cstheme="minorHAnsi"/>
                <w:color w:val="262626" w:themeColor="text1" w:themeTint="D9"/>
                <w:sz w:val="20"/>
                <w:szCs w:val="20"/>
              </w:rPr>
              <w:t>/VAR</w:t>
            </w:r>
            <w:r>
              <w:rPr>
                <w:rFonts w:asciiTheme="minorHAnsi" w:hAnsiTheme="minorHAnsi" w:cstheme="minorHAnsi"/>
                <w:color w:val="262626" w:themeColor="text1" w:themeTint="D9"/>
                <w:sz w:val="20"/>
                <w:szCs w:val="20"/>
              </w:rPr>
              <w:t xml:space="preserve">). This work was completed in June 2018.  </w:t>
            </w:r>
          </w:p>
          <w:p w:rsidR="00126779" w:rsidRPr="00933C84" w:rsidRDefault="00126779" w:rsidP="00126779">
            <w:pPr>
              <w:rPr>
                <w:rFonts w:asciiTheme="minorHAnsi" w:hAnsiTheme="minorHAnsi" w:cstheme="minorHAnsi"/>
                <w:color w:val="262626" w:themeColor="text1" w:themeTint="D9"/>
                <w:sz w:val="20"/>
                <w:szCs w:val="20"/>
              </w:rPr>
            </w:pP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Sites and Housing Plan Allocation SP37. Planning permission granted in 2013 for 47 residential units and community centre (12/03280/FUL). The community centre and the first residential units were completed and occupied in Spring 2017.</w:t>
            </w:r>
          </w:p>
        </w:tc>
      </w:tr>
      <w:tr w:rsidR="00126779" w:rsidRPr="00283314" w:rsidTr="00126779">
        <w:tc>
          <w:tcPr>
            <w:tcW w:w="9100" w:type="dxa"/>
            <w:gridSpan w:val="3"/>
            <w:shd w:val="clear" w:color="auto" w:fill="F2DBDB" w:themeFill="accent2" w:themeFillTint="33"/>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Rose Hill</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Housing stock regeneration programme</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life-expired houses to</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provide 254 new residential units (113</w:t>
            </w:r>
          </w:p>
          <w:p w:rsidR="00126779" w:rsidRPr="00933C84" w:rsidRDefault="00126779" w:rsidP="00126779">
            <w:pPr>
              <w:rPr>
                <w:rFonts w:asciiTheme="minorHAnsi" w:hAnsiTheme="minorHAnsi" w:cstheme="minorHAnsi"/>
                <w:color w:val="262626" w:themeColor="text1" w:themeTint="D9"/>
                <w:sz w:val="20"/>
                <w:szCs w:val="20"/>
              </w:rPr>
            </w:pPr>
            <w:proofErr w:type="gramStart"/>
            <w:r w:rsidRPr="00933C84">
              <w:rPr>
                <w:rFonts w:asciiTheme="minorHAnsi" w:hAnsiTheme="minorHAnsi" w:cstheme="minorHAnsi"/>
                <w:color w:val="262626" w:themeColor="text1" w:themeTint="D9"/>
                <w:sz w:val="20"/>
                <w:szCs w:val="20"/>
              </w:rPr>
              <w:t>market</w:t>
            </w:r>
            <w:proofErr w:type="gramEnd"/>
            <w:r w:rsidRPr="00933C84">
              <w:rPr>
                <w:rFonts w:asciiTheme="minorHAnsi" w:hAnsiTheme="minorHAnsi" w:cstheme="minorHAnsi"/>
                <w:color w:val="262626" w:themeColor="text1" w:themeTint="D9"/>
                <w:sz w:val="20"/>
                <w:szCs w:val="20"/>
              </w:rPr>
              <w:t xml:space="preserve"> and 141 affordable) by 2012.</w:t>
            </w:r>
          </w:p>
        </w:tc>
        <w:tc>
          <w:tcPr>
            <w:tcW w:w="3024"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Development completed December 2011.</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New Rose Hill Community Centre</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Delivery of new Community Centre. </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 xml:space="preserve">Development completed January 2016. </w:t>
            </w:r>
          </w:p>
        </w:tc>
      </w:tr>
      <w:tr w:rsidR="00126779" w:rsidRPr="00283314" w:rsidTr="00126779">
        <w:tc>
          <w:tcPr>
            <w:tcW w:w="9100" w:type="dxa"/>
            <w:gridSpan w:val="3"/>
            <w:shd w:val="clear" w:color="auto" w:fill="F2DBDB" w:themeFill="accent2" w:themeFillTint="33"/>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Wood Farm</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the Wood Farm primary</w:t>
            </w:r>
          </w:p>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school/Slade nursery school site</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the Wood Farm primary school/Slade nursery school site to include enhanced facilities for the wider community by 2012.</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Development completed October 2013.</w:t>
            </w:r>
          </w:p>
        </w:tc>
      </w:tr>
      <w:tr w:rsidR="00126779" w:rsidRPr="00283314" w:rsidTr="00126779">
        <w:tc>
          <w:tcPr>
            <w:tcW w:w="2376"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Investigate the future use of Foresters Tower block and surrounding area</w:t>
            </w:r>
          </w:p>
        </w:tc>
        <w:tc>
          <w:tcPr>
            <w:tcW w:w="3700" w:type="dxa"/>
          </w:tcPr>
          <w:p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Options appraisal for Foresters tower block by 2011.</w:t>
            </w:r>
          </w:p>
        </w:tc>
        <w:tc>
          <w:tcPr>
            <w:tcW w:w="3024" w:type="dxa"/>
          </w:tcPr>
          <w:p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to Foresters Tower in November 2014 (14/02643/CT3). Works commenced on site November 2016.</w:t>
            </w:r>
          </w:p>
        </w:tc>
      </w:tr>
    </w:tbl>
    <w:p w:rsidR="00126779" w:rsidRPr="00283314" w:rsidRDefault="00126779" w:rsidP="00126779">
      <w:pPr>
        <w:jc w:val="center"/>
        <w:rPr>
          <w:rFonts w:cs="Calibri"/>
          <w:b/>
          <w:sz w:val="4"/>
          <w:szCs w:val="4"/>
        </w:rPr>
      </w:pPr>
    </w:p>
    <w:p w:rsidR="00126779" w:rsidRPr="00283314" w:rsidRDefault="00126779" w:rsidP="00126779">
      <w:pPr>
        <w:jc w:val="center"/>
        <w:rPr>
          <w:rFonts w:cs="Calibri"/>
          <w:sz w:val="20"/>
        </w:rPr>
      </w:pPr>
      <w:r>
        <w:rPr>
          <w:rFonts w:cs="Calibri"/>
          <w:b/>
          <w:sz w:val="20"/>
        </w:rPr>
        <w:t>Table 21</w:t>
      </w:r>
      <w:r w:rsidRPr="00283314">
        <w:rPr>
          <w:rFonts w:cs="Calibri"/>
          <w:sz w:val="20"/>
        </w:rPr>
        <w:t>: Core Strategy monitoring framework for Policy CS3 Regeneration Areas</w:t>
      </w:r>
    </w:p>
    <w:p w:rsidR="00126779" w:rsidRPr="002B3263" w:rsidRDefault="00126779" w:rsidP="00126779">
      <w:pPr>
        <w:rPr>
          <w:rFonts w:cs="Calibri"/>
          <w:sz w:val="20"/>
        </w:rPr>
      </w:pPr>
    </w:p>
    <w:p w:rsidR="00126779" w:rsidRDefault="00126779" w:rsidP="00126779">
      <w:pPr>
        <w:numPr>
          <w:ilvl w:val="0"/>
          <w:numId w:val="6"/>
        </w:numPr>
        <w:spacing w:line="276" w:lineRule="auto"/>
        <w:ind w:left="720" w:hanging="578"/>
        <w:contextualSpacing/>
        <w:rPr>
          <w:rFonts w:cs="Calibri"/>
          <w:szCs w:val="22"/>
        </w:rPr>
      </w:pPr>
      <w:r w:rsidRPr="00283314">
        <w:rPr>
          <w:rFonts w:cs="Calibri"/>
          <w:szCs w:val="22"/>
        </w:rPr>
        <w:t>Regeneration work is also progressing outside of the targe</w:t>
      </w:r>
      <w:r>
        <w:rPr>
          <w:rFonts w:cs="Calibri"/>
          <w:szCs w:val="22"/>
        </w:rPr>
        <w:t xml:space="preserve">ted priority regeneration areas, for example </w:t>
      </w:r>
      <w:r w:rsidRPr="00283314">
        <w:rPr>
          <w:rFonts w:cs="Calibri"/>
          <w:szCs w:val="22"/>
        </w:rPr>
        <w:t xml:space="preserve">in </w:t>
      </w:r>
      <w:proofErr w:type="spellStart"/>
      <w:r w:rsidRPr="00283314">
        <w:rPr>
          <w:rFonts w:cs="Calibri"/>
          <w:szCs w:val="22"/>
        </w:rPr>
        <w:t>Cowley</w:t>
      </w:r>
      <w:proofErr w:type="spellEnd"/>
      <w:r w:rsidRPr="00283314">
        <w:rPr>
          <w:rFonts w:cs="Calibri"/>
          <w:szCs w:val="22"/>
        </w:rPr>
        <w:t>. Barns Place, a mixed-used devel</w:t>
      </w:r>
      <w:r>
        <w:rPr>
          <w:rFonts w:cs="Calibri"/>
          <w:szCs w:val="22"/>
        </w:rPr>
        <w:t>opment comprising 40 apartments (</w:t>
      </w:r>
      <w:r w:rsidRPr="00283314">
        <w:rPr>
          <w:rFonts w:cs="Calibri"/>
          <w:szCs w:val="22"/>
        </w:rPr>
        <w:t>of wh</w:t>
      </w:r>
      <w:r>
        <w:rPr>
          <w:rFonts w:cs="Calibri"/>
          <w:szCs w:val="22"/>
        </w:rPr>
        <w:t>ich 50% are affordable housing), a new community centre, retail and workshops</w:t>
      </w:r>
      <w:r w:rsidRPr="00283314">
        <w:rPr>
          <w:rFonts w:cs="Calibri"/>
          <w:szCs w:val="22"/>
        </w:rPr>
        <w:t xml:space="preserve"> was completed in September 2016</w:t>
      </w:r>
      <w:r>
        <w:rPr>
          <w:rFonts w:cs="Calibri"/>
          <w:szCs w:val="22"/>
        </w:rPr>
        <w:t>.</w:t>
      </w:r>
      <w:r w:rsidRPr="00283314">
        <w:rPr>
          <w:rFonts w:cs="Calibri"/>
          <w:szCs w:val="22"/>
          <w:vertAlign w:val="superscript"/>
        </w:rPr>
        <w:footnoteReference w:id="35"/>
      </w:r>
      <w:r w:rsidRPr="00283314">
        <w:rPr>
          <w:rFonts w:cs="Calibri"/>
          <w:szCs w:val="22"/>
        </w:rPr>
        <w:t xml:space="preserve"> Barns Place was awarded a Royal Institute of British Architects (RIBA) South Regional Award in May 2017</w:t>
      </w:r>
      <w:r>
        <w:rPr>
          <w:rFonts w:cs="Calibri"/>
          <w:szCs w:val="22"/>
        </w:rPr>
        <w:t xml:space="preserve"> (Image 1)</w:t>
      </w:r>
      <w:r w:rsidRPr="00283314">
        <w:rPr>
          <w:rFonts w:cs="Calibri"/>
          <w:szCs w:val="22"/>
        </w:rPr>
        <w:t>.</w:t>
      </w:r>
    </w:p>
    <w:p w:rsidR="00126779" w:rsidRPr="002B3263" w:rsidRDefault="00126779" w:rsidP="00126779">
      <w:pPr>
        <w:spacing w:line="276" w:lineRule="auto"/>
        <w:ind w:left="720"/>
        <w:contextualSpacing/>
        <w:rPr>
          <w:rFonts w:cs="Calibri"/>
          <w:sz w:val="10"/>
          <w:szCs w:val="22"/>
        </w:rPr>
      </w:pPr>
    </w:p>
    <w:p w:rsidR="00126779" w:rsidRPr="00283314" w:rsidRDefault="00126779" w:rsidP="00126779">
      <w:pPr>
        <w:spacing w:line="276" w:lineRule="auto"/>
        <w:jc w:val="center"/>
        <w:rPr>
          <w:rFonts w:cs="Calibri"/>
          <w:szCs w:val="22"/>
        </w:rPr>
      </w:pPr>
      <w:r w:rsidRPr="00283314">
        <w:rPr>
          <w:rFonts w:eastAsia="Calibri" w:cs="Times New Roman"/>
          <w:noProof/>
          <w:szCs w:val="22"/>
          <w:lang w:eastAsia="en-GB"/>
        </w:rPr>
        <w:lastRenderedPageBreak/>
        <w:drawing>
          <wp:inline distT="0" distB="0" distL="0" distR="0" wp14:anchorId="3C705836" wp14:editId="3CF4F273">
            <wp:extent cx="5181600" cy="2943225"/>
            <wp:effectExtent l="0" t="0" r="0" b="9525"/>
            <wp:docPr id="262" name="Picture 262" descr="M:\Planning\plan_policy\Local Plan 2016-2036\Oxford Photos\IMG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anning\plan_policy\Local Plan 2016-2036\Oxford Photos\IMG_444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823"/>
                    <a:stretch/>
                  </pic:blipFill>
                  <pic:spPr bwMode="auto">
                    <a:xfrm>
                      <a:off x="0" y="0"/>
                      <a:ext cx="5188471" cy="2947128"/>
                    </a:xfrm>
                    <a:prstGeom prst="rect">
                      <a:avLst/>
                    </a:prstGeom>
                    <a:noFill/>
                    <a:ln>
                      <a:noFill/>
                    </a:ln>
                    <a:extLst>
                      <a:ext uri="{53640926-AAD7-44D8-BBD7-CCE9431645EC}">
                        <a14:shadowObscured xmlns:a14="http://schemas.microsoft.com/office/drawing/2010/main"/>
                      </a:ext>
                    </a:extLst>
                  </pic:spPr>
                </pic:pic>
              </a:graphicData>
            </a:graphic>
          </wp:inline>
        </w:drawing>
      </w:r>
    </w:p>
    <w:p w:rsidR="00126779" w:rsidRPr="00417CFB" w:rsidRDefault="00126779" w:rsidP="00126779">
      <w:pPr>
        <w:pStyle w:val="ListParagraph"/>
        <w:spacing w:after="120"/>
        <w:ind w:left="505"/>
        <w:jc w:val="center"/>
        <w:rPr>
          <w:rFonts w:cs="Calibri"/>
          <w:sz w:val="20"/>
        </w:rPr>
      </w:pPr>
      <w:r>
        <w:rPr>
          <w:rFonts w:cs="Calibri"/>
          <w:b/>
          <w:sz w:val="20"/>
        </w:rPr>
        <w:t>Image</w:t>
      </w:r>
      <w:r w:rsidRPr="002B3263">
        <w:rPr>
          <w:rFonts w:cs="Calibri"/>
          <w:b/>
          <w:sz w:val="20"/>
        </w:rPr>
        <w:t xml:space="preserve"> </w:t>
      </w:r>
      <w:r>
        <w:rPr>
          <w:rFonts w:cs="Calibri"/>
          <w:b/>
          <w:sz w:val="20"/>
        </w:rPr>
        <w:t>1</w:t>
      </w:r>
      <w:r>
        <w:rPr>
          <w:rFonts w:cs="Calibri"/>
          <w:sz w:val="20"/>
        </w:rPr>
        <w:t>: The RIBA award winning Barns Place development</w:t>
      </w:r>
    </w:p>
    <w:p w:rsidR="00126779" w:rsidRDefault="00126779" w:rsidP="00126779">
      <w:pPr>
        <w:numPr>
          <w:ilvl w:val="0"/>
          <w:numId w:val="6"/>
        </w:numPr>
        <w:spacing w:line="276" w:lineRule="auto"/>
        <w:ind w:left="720" w:hanging="578"/>
        <w:contextualSpacing/>
        <w:rPr>
          <w:rFonts w:cs="Calibri"/>
          <w:sz w:val="20"/>
        </w:rPr>
      </w:pPr>
      <w:r w:rsidRPr="00283314">
        <w:rPr>
          <w:rFonts w:cs="Calibri"/>
          <w:szCs w:val="22"/>
        </w:rPr>
        <w:t>An application for redevelopment of Templars Square Shopping Centre was submitted in December 2016</w:t>
      </w:r>
      <w:r w:rsidRPr="00283314">
        <w:rPr>
          <w:rFonts w:cs="Calibri"/>
          <w:szCs w:val="22"/>
          <w:vertAlign w:val="superscript"/>
        </w:rPr>
        <w:footnoteReference w:id="36"/>
      </w:r>
      <w:r>
        <w:rPr>
          <w:rFonts w:cs="Calibri"/>
          <w:szCs w:val="22"/>
        </w:rPr>
        <w:t xml:space="preserve"> and the East Area Planning Committee resolved to grant planning permission for this development subject to the conditions and s106 legal agreement being finalised and completed.</w:t>
      </w:r>
      <w:r>
        <w:rPr>
          <w:rStyle w:val="FootnoteReference"/>
          <w:rFonts w:cs="Calibri"/>
          <w:szCs w:val="22"/>
        </w:rPr>
        <w:footnoteReference w:id="37"/>
      </w:r>
      <w:r>
        <w:rPr>
          <w:rFonts w:cs="Calibri"/>
          <w:szCs w:val="22"/>
        </w:rPr>
        <w:t xml:space="preserve"> </w:t>
      </w:r>
      <w:r w:rsidRPr="00283314">
        <w:rPr>
          <w:rFonts w:cs="Calibri"/>
          <w:szCs w:val="22"/>
        </w:rPr>
        <w:t xml:space="preserve">The proposals include 200 homes, new shops, restaurants and a hotel as well as improvements to Between Towns Road. </w:t>
      </w:r>
    </w:p>
    <w:p w:rsidR="00126779" w:rsidRDefault="00126779" w:rsidP="00126779">
      <w:pPr>
        <w:spacing w:line="276" w:lineRule="auto"/>
        <w:ind w:left="142"/>
        <w:contextualSpacing/>
        <w:rPr>
          <w:rFonts w:cs="Calibri"/>
          <w:sz w:val="20"/>
        </w:rPr>
      </w:pPr>
    </w:p>
    <w:bookmarkStart w:id="29" w:name="_Toc529178359"/>
    <w:p w:rsidR="00126779" w:rsidRPr="00D8134D" w:rsidRDefault="00126779" w:rsidP="00126779">
      <w:pPr>
        <w:pStyle w:val="Heading2"/>
        <w:rPr>
          <w:rFonts w:cs="Calibri"/>
          <w:sz w:val="20"/>
        </w:rPr>
      </w:pPr>
      <w:r w:rsidRPr="00283314">
        <w:rPr>
          <w:rFonts w:cs="Calibri"/>
          <w:noProof/>
          <w:color w:val="244061" w:themeColor="accent1" w:themeShade="80"/>
          <w:sz w:val="8"/>
          <w:szCs w:val="22"/>
          <w:highlight w:val="yellow"/>
        </w:rPr>
        <mc:AlternateContent>
          <mc:Choice Requires="wps">
            <w:drawing>
              <wp:anchor distT="0" distB="0" distL="114300" distR="114300" simplePos="0" relativeHeight="251689984" behindDoc="1" locked="0" layoutInCell="1" allowOverlap="1" wp14:anchorId="1C05EFA9" wp14:editId="2AC7DD9E">
                <wp:simplePos x="0" y="0"/>
                <wp:positionH relativeFrom="column">
                  <wp:posOffset>-142875</wp:posOffset>
                </wp:positionH>
                <wp:positionV relativeFrom="paragraph">
                  <wp:posOffset>-10795</wp:posOffset>
                </wp:positionV>
                <wp:extent cx="5875655" cy="3124200"/>
                <wp:effectExtent l="0" t="0" r="0" b="0"/>
                <wp:wrapNone/>
                <wp:docPr id="254" name="Rectangle 254"/>
                <wp:cNvGraphicFramePr/>
                <a:graphic xmlns:a="http://schemas.openxmlformats.org/drawingml/2006/main">
                  <a:graphicData uri="http://schemas.microsoft.com/office/word/2010/wordprocessingShape">
                    <wps:wsp>
                      <wps:cNvSpPr/>
                      <wps:spPr>
                        <a:xfrm>
                          <a:off x="0" y="0"/>
                          <a:ext cx="5875655" cy="312420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4F4055" id="Rectangle 254" o:spid="_x0000_s1026" style="position:absolute;margin-left:-11.25pt;margin-top:-.85pt;width:462.65pt;height:2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" fillcolor="#f2dcdb" stroked="f" strokeweight="2pt"/>
            </w:pict>
          </mc:Fallback>
        </mc:AlternateContent>
      </w:r>
      <w:r w:rsidRPr="00D8134D">
        <w:t>Indicator 22: WEST END AREA ACTION PLAN</w:t>
      </w:r>
      <w:bookmarkEnd w:id="29"/>
    </w:p>
    <w:p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West End Area Action Plan</w:t>
      </w:r>
      <w:r w:rsidRPr="00283314">
        <w:rPr>
          <w:rFonts w:eastAsia="Calibri" w:cs="Times New Roman"/>
          <w:b/>
          <w:color w:val="632423" w:themeColor="accent2" w:themeShade="80"/>
          <w:szCs w:val="22"/>
        </w:rPr>
        <w:t xml:space="preserve"> (AAP) guides development and change in Oxford’s West End. It aspires to transform this key part of the City, which is currently under-utilised, raising it to the standard that Oxford’s reputation deserves. The West End AAP identifies four key objectives to support this vision:</w:t>
      </w:r>
    </w:p>
    <w:p w:rsidR="00126779" w:rsidRPr="00283314" w:rsidRDefault="00126779" w:rsidP="00126779">
      <w:pPr>
        <w:numPr>
          <w:ilvl w:val="0"/>
          <w:numId w:val="14"/>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An attractive network of streets and spaces</w:t>
      </w:r>
    </w:p>
    <w:p w:rsidR="00126779" w:rsidRPr="00283314" w:rsidRDefault="00126779" w:rsidP="00126779">
      <w:pPr>
        <w:numPr>
          <w:ilvl w:val="0"/>
          <w:numId w:val="14"/>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high quality built environment</w:t>
      </w:r>
    </w:p>
    <w:p w:rsidR="00126779" w:rsidRPr="00283314" w:rsidRDefault="00126779" w:rsidP="00126779">
      <w:pPr>
        <w:numPr>
          <w:ilvl w:val="0"/>
          <w:numId w:val="14"/>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strong and balanced community</w:t>
      </w:r>
    </w:p>
    <w:p w:rsidR="00126779" w:rsidRPr="00283314" w:rsidRDefault="00126779" w:rsidP="00126779">
      <w:pPr>
        <w:numPr>
          <w:ilvl w:val="0"/>
          <w:numId w:val="14"/>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vibrant and successful West End</w:t>
      </w:r>
    </w:p>
    <w:p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The AAP monitoring framework is based around these objectives.</w:t>
      </w:r>
    </w:p>
    <w:p w:rsidR="00126779" w:rsidRPr="00283314" w:rsidRDefault="00126779" w:rsidP="00126779">
      <w:pPr>
        <w:spacing w:line="276" w:lineRule="auto"/>
        <w:jc w:val="both"/>
        <w:rPr>
          <w:rFonts w:eastAsia="Calibri" w:cs="Calibri"/>
          <w:color w:val="632423" w:themeColor="accent2" w:themeShade="80"/>
          <w:sz w:val="20"/>
          <w:szCs w:val="22"/>
        </w:rPr>
      </w:pPr>
      <w:r w:rsidRPr="00283314">
        <w:rPr>
          <w:rFonts w:eastAsia="Calibri" w:cs="Calibri"/>
          <w:color w:val="632423" w:themeColor="accent2" w:themeShade="80"/>
          <w:sz w:val="20"/>
          <w:szCs w:val="22"/>
        </w:rPr>
        <w:t>(Oxford Core Strategy Policy CS5, West End Area Action Plan)</w:t>
      </w:r>
    </w:p>
    <w:p w:rsidR="00126779" w:rsidRPr="00283314" w:rsidRDefault="00126779" w:rsidP="00126779">
      <w:pPr>
        <w:spacing w:line="276" w:lineRule="auto"/>
        <w:jc w:val="both"/>
        <w:rPr>
          <w:rFonts w:eastAsia="Calibri" w:cs="Calibri"/>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83314" w:rsidTr="00126779">
        <w:trPr>
          <w:trHeight w:val="218"/>
        </w:trPr>
        <w:tc>
          <w:tcPr>
            <w:tcW w:w="5420" w:type="dxa"/>
          </w:tcPr>
          <w:p w:rsidR="00126779" w:rsidRPr="00283314" w:rsidRDefault="00126779" w:rsidP="00126779">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w:t>
            </w:r>
            <w:r>
              <w:rPr>
                <w:rFonts w:cs="Calibri"/>
                <w:b/>
                <w:color w:val="632423" w:themeColor="accent2" w:themeShade="80"/>
                <w:szCs w:val="22"/>
              </w:rPr>
              <w:t>rformance against target 2017/18</w:t>
            </w:r>
            <w:r w:rsidRPr="00283314">
              <w:rPr>
                <w:rFonts w:cs="Calibri"/>
                <w:b/>
                <w:color w:val="632423" w:themeColor="accent2" w:themeShade="80"/>
                <w:szCs w:val="22"/>
              </w:rPr>
              <w:t>:</w:t>
            </w:r>
          </w:p>
        </w:tc>
        <w:tc>
          <w:tcPr>
            <w:tcW w:w="3714" w:type="dxa"/>
            <w:gridSpan w:val="2"/>
          </w:tcPr>
          <w:p w:rsidR="00126779" w:rsidRPr="00283314" w:rsidRDefault="00126779" w:rsidP="00126779">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126779" w:rsidRPr="00283314" w:rsidTr="00126779">
        <w:tc>
          <w:tcPr>
            <w:tcW w:w="5420" w:type="dxa"/>
            <w:vMerge w:val="restart"/>
          </w:tcPr>
          <w:p w:rsidR="00126779" w:rsidRPr="0087780A" w:rsidRDefault="00126779" w:rsidP="00126779">
            <w:pPr>
              <w:autoSpaceDE w:val="0"/>
              <w:autoSpaceDN w:val="0"/>
              <w:adjustRightInd w:val="0"/>
              <w:rPr>
                <w:rFonts w:cs="Calibri"/>
                <w:b/>
                <w:color w:val="632423" w:themeColor="accent2" w:themeShade="80"/>
                <w:sz w:val="10"/>
                <w:szCs w:val="6"/>
              </w:rPr>
            </w:pPr>
          </w:p>
          <w:p w:rsidR="00126779" w:rsidRPr="00283314" w:rsidRDefault="00126779" w:rsidP="00126779">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508DCB37" wp14:editId="6AB9EE7F">
                  <wp:extent cx="1388853" cy="418201"/>
                  <wp:effectExtent l="0" t="0" r="1905" b="1270"/>
                  <wp:docPr id="263" name="Picture 26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126779" w:rsidRPr="00283314" w:rsidRDefault="00126779"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9FF5F17" wp14:editId="54EFF735">
                  <wp:extent cx="819150" cy="256182"/>
                  <wp:effectExtent l="0" t="0" r="0" b="0"/>
                  <wp:docPr id="264" name="Picture 26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283314" w:rsidRDefault="00126779" w:rsidP="00126779">
            <w:pPr>
              <w:autoSpaceDE w:val="0"/>
              <w:autoSpaceDN w:val="0"/>
              <w:adjustRightInd w:val="0"/>
              <w:jc w:val="center"/>
              <w:rPr>
                <w:rFonts w:cs="Calibri"/>
                <w:b/>
                <w:color w:val="632423" w:themeColor="accent2" w:themeShade="80"/>
                <w:sz w:val="8"/>
                <w:szCs w:val="8"/>
              </w:rPr>
            </w:pPr>
          </w:p>
        </w:tc>
      </w:tr>
      <w:tr w:rsidR="00126779" w:rsidRPr="00283314" w:rsidTr="00126779">
        <w:tc>
          <w:tcPr>
            <w:tcW w:w="5420" w:type="dxa"/>
            <w:vMerge/>
          </w:tcPr>
          <w:p w:rsidR="00126779" w:rsidRPr="00283314" w:rsidRDefault="00126779" w:rsidP="00126779">
            <w:pPr>
              <w:autoSpaceDE w:val="0"/>
              <w:autoSpaceDN w:val="0"/>
              <w:adjustRightInd w:val="0"/>
              <w:jc w:val="center"/>
              <w:rPr>
                <w:rFonts w:cs="Calibri"/>
                <w:b/>
                <w:color w:val="632423" w:themeColor="accent2" w:themeShade="80"/>
                <w:szCs w:val="22"/>
              </w:rPr>
            </w:pPr>
          </w:p>
        </w:tc>
        <w:tc>
          <w:tcPr>
            <w:tcW w:w="1101" w:type="dxa"/>
          </w:tcPr>
          <w:p w:rsidR="00126779" w:rsidRPr="00283314" w:rsidRDefault="00126779"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126779" w:rsidRPr="00283314" w:rsidRDefault="00126779" w:rsidP="00126779">
            <w:pPr>
              <w:autoSpaceDE w:val="0"/>
              <w:autoSpaceDN w:val="0"/>
              <w:adjustRightInd w:val="0"/>
              <w:rPr>
                <w:rFonts w:cs="Calibri"/>
                <w:color w:val="632423" w:themeColor="accent2" w:themeShade="80"/>
                <w:sz w:val="24"/>
              </w:rPr>
            </w:pPr>
            <w:r w:rsidRPr="00283314">
              <w:rPr>
                <w:b/>
                <w:noProof/>
                <w:sz w:val="32"/>
                <w:szCs w:val="32"/>
                <w:lang w:eastAsia="en-GB"/>
              </w:rPr>
              <w:drawing>
                <wp:inline distT="0" distB="0" distL="0" distR="0" wp14:anchorId="14EB7DDB" wp14:editId="2947E69E">
                  <wp:extent cx="819150" cy="256182"/>
                  <wp:effectExtent l="0" t="0" r="0" b="0"/>
                  <wp:docPr id="265" name="Picture 2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283314" w:rsidRDefault="00126779" w:rsidP="00126779">
      <w:pPr>
        <w:tabs>
          <w:tab w:val="left" w:pos="567"/>
        </w:tabs>
        <w:spacing w:after="200"/>
        <w:jc w:val="both"/>
        <w:rPr>
          <w:rFonts w:eastAsia="Calibri" w:cs="Times New Roman"/>
          <w:szCs w:val="22"/>
        </w:rPr>
      </w:pPr>
    </w:p>
    <w:p w:rsidR="00126779" w:rsidRPr="00283314" w:rsidRDefault="00126779" w:rsidP="00126779">
      <w:pPr>
        <w:numPr>
          <w:ilvl w:val="0"/>
          <w:numId w:val="6"/>
        </w:numPr>
        <w:tabs>
          <w:tab w:val="left" w:pos="567"/>
        </w:tabs>
        <w:spacing w:after="200" w:line="276" w:lineRule="auto"/>
        <w:ind w:left="567" w:hanging="567"/>
        <w:jc w:val="both"/>
        <w:rPr>
          <w:rFonts w:eastAsia="Calibri" w:cs="Times New Roman"/>
          <w:szCs w:val="22"/>
        </w:rPr>
      </w:pPr>
      <w:r w:rsidRPr="00283314">
        <w:rPr>
          <w:rFonts w:cs="Calibri"/>
        </w:rPr>
        <w:t xml:space="preserve">The West End is a key part of the City Centre which is currently under-utilised and the City Council has produced an Area Action Plan (AAP) to guide its physical regeneration. This is a challenging part of the city to redevelop as it includes multiple sites, under various land </w:t>
      </w:r>
      <w:r w:rsidRPr="00283314">
        <w:rPr>
          <w:rFonts w:cs="Calibri"/>
        </w:rPr>
        <w:lastRenderedPageBreak/>
        <w:t>ownerships, that will become available for development at different times. Significant progress has been made on key proj</w:t>
      </w:r>
      <w:r>
        <w:rPr>
          <w:rFonts w:cs="Calibri"/>
        </w:rPr>
        <w:t>ects in the West End during 2017/18</w:t>
      </w:r>
      <w:r w:rsidRPr="00283314">
        <w:rPr>
          <w:rFonts w:cs="Calibri"/>
        </w:rPr>
        <w:t>:</w:t>
      </w:r>
    </w:p>
    <w:p w:rsidR="00126779" w:rsidRPr="00283314" w:rsidRDefault="00126779" w:rsidP="00126779">
      <w:pPr>
        <w:spacing w:line="276" w:lineRule="auto"/>
        <w:jc w:val="both"/>
        <w:rPr>
          <w:rFonts w:cs="Calibri"/>
        </w:rPr>
      </w:pPr>
      <w:r w:rsidRPr="00283314">
        <w:rPr>
          <w:rFonts w:cs="Calibri"/>
          <w:b/>
          <w:color w:val="632423" w:themeColor="accent2" w:themeShade="80"/>
        </w:rPr>
        <w:t>Westgate</w:t>
      </w:r>
    </w:p>
    <w:p w:rsidR="00126779" w:rsidRDefault="00126779" w:rsidP="00126779">
      <w:pPr>
        <w:numPr>
          <w:ilvl w:val="0"/>
          <w:numId w:val="6"/>
        </w:numPr>
        <w:tabs>
          <w:tab w:val="left" w:pos="567"/>
        </w:tabs>
        <w:spacing w:line="276" w:lineRule="auto"/>
        <w:ind w:left="499" w:hanging="499"/>
        <w:jc w:val="both"/>
        <w:rPr>
          <w:rFonts w:eastAsia="Calibri" w:cs="Times New Roman"/>
          <w:szCs w:val="22"/>
        </w:rPr>
      </w:pPr>
      <w:r>
        <w:rPr>
          <w:rFonts w:eastAsia="Calibri" w:cs="Times New Roman"/>
          <w:szCs w:val="22"/>
        </w:rPr>
        <w:t xml:space="preserve">The new shopping and leisure destination opened on 24 October 2017, providing more than 3,400 new full time equivalent jobs. </w:t>
      </w:r>
      <w:r w:rsidRPr="00283314">
        <w:rPr>
          <w:rFonts w:eastAsia="Calibri" w:cs="Times New Roman"/>
          <w:szCs w:val="22"/>
        </w:rPr>
        <w:t>This is a really important</w:t>
      </w:r>
      <w:r>
        <w:rPr>
          <w:rFonts w:eastAsia="Calibri" w:cs="Times New Roman"/>
          <w:szCs w:val="22"/>
        </w:rPr>
        <w:t xml:space="preserve"> development for Oxford and has</w:t>
      </w:r>
      <w:r w:rsidRPr="00283314">
        <w:rPr>
          <w:rFonts w:eastAsia="Calibri" w:cs="Times New Roman"/>
          <w:szCs w:val="22"/>
        </w:rPr>
        <w:t xml:space="preserve"> significantly increase</w:t>
      </w:r>
      <w:r>
        <w:rPr>
          <w:rFonts w:eastAsia="Calibri" w:cs="Times New Roman"/>
          <w:szCs w:val="22"/>
        </w:rPr>
        <w:t>d</w:t>
      </w:r>
      <w:r w:rsidRPr="00283314">
        <w:rPr>
          <w:rFonts w:eastAsia="Calibri" w:cs="Times New Roman"/>
          <w:szCs w:val="22"/>
        </w:rPr>
        <w:t xml:space="preserve"> the city’s retail offer through the de</w:t>
      </w:r>
      <w:r>
        <w:rPr>
          <w:rFonts w:eastAsia="Calibri" w:cs="Times New Roman"/>
          <w:szCs w:val="22"/>
        </w:rPr>
        <w:t xml:space="preserve">livery of 80,000sq </w:t>
      </w:r>
      <w:proofErr w:type="spellStart"/>
      <w:r>
        <w:rPr>
          <w:rFonts w:eastAsia="Calibri" w:cs="Times New Roman"/>
          <w:szCs w:val="22"/>
        </w:rPr>
        <w:t>ft</w:t>
      </w:r>
      <w:proofErr w:type="spellEnd"/>
      <w:r w:rsidRPr="00283314">
        <w:rPr>
          <w:rFonts w:eastAsia="Calibri" w:cs="Times New Roman"/>
          <w:szCs w:val="22"/>
        </w:rPr>
        <w:t xml:space="preserve"> of new A1 retail </w:t>
      </w:r>
      <w:proofErr w:type="spellStart"/>
      <w:r>
        <w:rPr>
          <w:rFonts w:eastAsia="Calibri" w:cs="Times New Roman"/>
          <w:szCs w:val="22"/>
        </w:rPr>
        <w:t>floorspace</w:t>
      </w:r>
      <w:proofErr w:type="spellEnd"/>
      <w:r>
        <w:rPr>
          <w:rFonts w:eastAsia="Calibri" w:cs="Times New Roman"/>
          <w:szCs w:val="22"/>
        </w:rPr>
        <w:t>. The development has</w:t>
      </w:r>
      <w:r w:rsidRPr="00283314">
        <w:rPr>
          <w:rFonts w:eastAsia="Calibri" w:cs="Times New Roman"/>
          <w:szCs w:val="22"/>
        </w:rPr>
        <w:t xml:space="preserve"> also deliver</w:t>
      </w:r>
      <w:r>
        <w:rPr>
          <w:rFonts w:eastAsia="Calibri" w:cs="Times New Roman"/>
          <w:szCs w:val="22"/>
        </w:rPr>
        <w:t>ed</w:t>
      </w:r>
      <w:r w:rsidRPr="00283314">
        <w:rPr>
          <w:rFonts w:eastAsia="Calibri" w:cs="Times New Roman"/>
          <w:szCs w:val="22"/>
        </w:rPr>
        <w:t xml:space="preserve"> 27,000m</w:t>
      </w:r>
      <w:r w:rsidRPr="0087780A">
        <w:rPr>
          <w:rFonts w:eastAsia="Calibri" w:cs="Times New Roman"/>
          <w:szCs w:val="22"/>
          <w:vertAlign w:val="superscript"/>
        </w:rPr>
        <w:t>2</w:t>
      </w:r>
      <w:r>
        <w:rPr>
          <w:rFonts w:eastAsia="Calibri" w:cs="Times New Roman"/>
          <w:szCs w:val="22"/>
        </w:rPr>
        <w:t xml:space="preserve"> of</w:t>
      </w:r>
      <w:r w:rsidRPr="00283314">
        <w:rPr>
          <w:rFonts w:eastAsia="Calibri" w:cs="Times New Roman"/>
          <w:szCs w:val="22"/>
        </w:rPr>
        <w:t xml:space="preserve"> restaurants, cafes and leisure uses a</w:t>
      </w:r>
      <w:r>
        <w:rPr>
          <w:rFonts w:eastAsia="Calibri" w:cs="Times New Roman"/>
          <w:szCs w:val="22"/>
        </w:rPr>
        <w:t>nd a five screen Curzon cinema, as well as</w:t>
      </w:r>
      <w:r w:rsidRPr="00283314">
        <w:rPr>
          <w:rFonts w:eastAsia="Calibri" w:cs="Times New Roman"/>
          <w:szCs w:val="22"/>
        </w:rPr>
        <w:t xml:space="preserve"> 59 reside</w:t>
      </w:r>
      <w:r>
        <w:rPr>
          <w:rFonts w:eastAsia="Calibri" w:cs="Times New Roman"/>
          <w:szCs w:val="22"/>
        </w:rPr>
        <w:t>ntial apartments. This has helped</w:t>
      </w:r>
      <w:r w:rsidRPr="00283314">
        <w:rPr>
          <w:rFonts w:eastAsia="Calibri" w:cs="Times New Roman"/>
          <w:szCs w:val="22"/>
        </w:rPr>
        <w:t xml:space="preserve"> to strengthen Oxford’s position as a regional centre for retail, culture</w:t>
      </w:r>
      <w:r>
        <w:rPr>
          <w:rFonts w:eastAsia="Calibri" w:cs="Times New Roman"/>
          <w:szCs w:val="22"/>
        </w:rPr>
        <w:t xml:space="preserve"> and leisure, as well as helped</w:t>
      </w:r>
      <w:r w:rsidRPr="00283314">
        <w:rPr>
          <w:rFonts w:eastAsia="Calibri" w:cs="Times New Roman"/>
          <w:szCs w:val="22"/>
        </w:rPr>
        <w:t xml:space="preserve"> to attract and provide for the needs of tourists.</w:t>
      </w:r>
    </w:p>
    <w:p w:rsidR="00126779" w:rsidRDefault="00126779" w:rsidP="00126779">
      <w:pPr>
        <w:tabs>
          <w:tab w:val="left" w:pos="567"/>
        </w:tabs>
        <w:spacing w:line="276" w:lineRule="auto"/>
        <w:ind w:left="499"/>
        <w:jc w:val="both"/>
        <w:rPr>
          <w:rFonts w:eastAsia="Calibri" w:cs="Times New Roman"/>
          <w:szCs w:val="22"/>
        </w:rPr>
      </w:pPr>
    </w:p>
    <w:p w:rsidR="00126779" w:rsidRPr="0087780A" w:rsidRDefault="00126779" w:rsidP="00126779">
      <w:pPr>
        <w:tabs>
          <w:tab w:val="left" w:pos="567"/>
        </w:tabs>
        <w:spacing w:line="276" w:lineRule="auto"/>
        <w:ind w:left="499"/>
        <w:jc w:val="both"/>
        <w:rPr>
          <w:rFonts w:eastAsia="Calibri" w:cs="Times New Roman"/>
          <w:sz w:val="2"/>
          <w:szCs w:val="6"/>
        </w:rPr>
      </w:pPr>
    </w:p>
    <w:tbl>
      <w:tblPr>
        <w:tblStyle w:val="TableGrid20"/>
        <w:tblW w:w="924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26779" w:rsidRPr="00283314" w:rsidTr="00126779">
        <w:tc>
          <w:tcPr>
            <w:tcW w:w="9242" w:type="dxa"/>
          </w:tcPr>
          <w:p w:rsidR="00126779" w:rsidRPr="00283314" w:rsidRDefault="00126779" w:rsidP="00126779">
            <w:pPr>
              <w:tabs>
                <w:tab w:val="left" w:pos="567"/>
              </w:tabs>
              <w:jc w:val="center"/>
              <w:rPr>
                <w:rFonts w:eastAsia="Calibri" w:cs="Times New Roman"/>
                <w:sz w:val="24"/>
                <w:highlight w:val="yellow"/>
              </w:rPr>
            </w:pPr>
            <w:r>
              <w:rPr>
                <w:rFonts w:eastAsia="Calibri" w:cs="Times New Roman"/>
                <w:noProof/>
                <w:sz w:val="24"/>
                <w:lang w:eastAsia="en-GB"/>
              </w:rPr>
              <w:drawing>
                <wp:inline distT="0" distB="0" distL="0" distR="0" wp14:anchorId="46670DBF" wp14:editId="7A8723C3">
                  <wp:extent cx="4080045" cy="2430780"/>
                  <wp:effectExtent l="0" t="0" r="0" b="7620"/>
                  <wp:docPr id="266" name="Picture 266" descr="M:\Communications Share\Picture library\Westgate 2018\DSCN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 Share\Picture library\Westgate 2018\DSCN322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6722" b="33871"/>
                          <a:stretch/>
                        </pic:blipFill>
                        <pic:spPr bwMode="auto">
                          <a:xfrm>
                            <a:off x="0" y="0"/>
                            <a:ext cx="4080045" cy="24307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26779" w:rsidRPr="0087780A" w:rsidRDefault="00126779" w:rsidP="00126779">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2</w:t>
      </w:r>
      <w:r>
        <w:rPr>
          <w:rFonts w:cs="Calibri"/>
          <w:sz w:val="20"/>
        </w:rPr>
        <w:t>: Westgate development</w:t>
      </w:r>
    </w:p>
    <w:p w:rsidR="00126779" w:rsidRDefault="00126779" w:rsidP="00126779">
      <w:pPr>
        <w:tabs>
          <w:tab w:val="left" w:pos="567"/>
        </w:tabs>
        <w:spacing w:line="276" w:lineRule="auto"/>
        <w:jc w:val="both"/>
        <w:rPr>
          <w:rFonts w:cs="Calibri"/>
          <w:b/>
          <w:color w:val="632423" w:themeColor="accent2" w:themeShade="80"/>
        </w:rPr>
      </w:pPr>
    </w:p>
    <w:p w:rsidR="00126779" w:rsidRPr="00283314" w:rsidRDefault="00126779" w:rsidP="00126779">
      <w:pPr>
        <w:tabs>
          <w:tab w:val="left" w:pos="567"/>
        </w:tabs>
        <w:spacing w:line="276" w:lineRule="auto"/>
        <w:jc w:val="both"/>
        <w:rPr>
          <w:rFonts w:cs="Calibri"/>
          <w:b/>
          <w:color w:val="632423" w:themeColor="accent2" w:themeShade="80"/>
        </w:rPr>
      </w:pPr>
      <w:r w:rsidRPr="00DE6742">
        <w:rPr>
          <w:rFonts w:eastAsia="Calibri" w:cs="Times New Roman"/>
          <w:noProof/>
          <w:szCs w:val="22"/>
          <w:lang w:eastAsia="en-GB"/>
        </w:rPr>
        <w:drawing>
          <wp:anchor distT="0" distB="0" distL="114300" distR="114300" simplePos="0" relativeHeight="251691008" behindDoc="0" locked="0" layoutInCell="1" allowOverlap="1" wp14:anchorId="2D73E5B4" wp14:editId="523FF997">
            <wp:simplePos x="0" y="0"/>
            <wp:positionH relativeFrom="column">
              <wp:posOffset>2839085</wp:posOffset>
            </wp:positionH>
            <wp:positionV relativeFrom="paragraph">
              <wp:posOffset>6985</wp:posOffset>
            </wp:positionV>
            <wp:extent cx="2685415" cy="3362325"/>
            <wp:effectExtent l="0" t="0" r="635" b="9525"/>
            <wp:wrapSquare wrapText="bothSides"/>
            <wp:docPr id="267" name="Picture 267" descr="M:\Planning\plan_policy\Local Plan 2016-2036\Oxford Photos\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anning\plan_policy\Local Plan 2016-2036\Oxford Photos\IMG_45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888" b="11677"/>
                    <a:stretch/>
                  </pic:blipFill>
                  <pic:spPr bwMode="auto">
                    <a:xfrm>
                      <a:off x="0" y="0"/>
                      <a:ext cx="268541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742">
        <w:rPr>
          <w:rFonts w:cs="Calibri"/>
          <w:b/>
          <w:color w:val="632423" w:themeColor="accent2" w:themeShade="80"/>
        </w:rPr>
        <w:t xml:space="preserve">4-5 Queen Street and 114-119 St </w:t>
      </w:r>
      <w:proofErr w:type="spellStart"/>
      <w:r w:rsidRPr="00DE6742">
        <w:rPr>
          <w:rFonts w:cs="Calibri"/>
          <w:b/>
          <w:color w:val="632423" w:themeColor="accent2" w:themeShade="80"/>
        </w:rPr>
        <w:t>Aldate’s</w:t>
      </w:r>
      <w:proofErr w:type="spellEnd"/>
    </w:p>
    <w:p w:rsidR="00126779" w:rsidRPr="00283314" w:rsidRDefault="00126779" w:rsidP="00126779">
      <w:pPr>
        <w:tabs>
          <w:tab w:val="left" w:pos="567"/>
        </w:tabs>
        <w:spacing w:line="276" w:lineRule="auto"/>
        <w:jc w:val="both"/>
        <w:rPr>
          <w:rFonts w:cs="Calibri"/>
          <w:b/>
          <w:color w:val="632423" w:themeColor="accent2" w:themeShade="80"/>
        </w:rPr>
      </w:pPr>
    </w:p>
    <w:p w:rsidR="00126779" w:rsidRPr="00283314" w:rsidRDefault="00126779" w:rsidP="00126779">
      <w:pPr>
        <w:numPr>
          <w:ilvl w:val="0"/>
          <w:numId w:val="6"/>
        </w:numPr>
        <w:tabs>
          <w:tab w:val="left" w:pos="567"/>
        </w:tabs>
        <w:spacing w:line="276" w:lineRule="auto"/>
        <w:contextualSpacing/>
        <w:jc w:val="both"/>
        <w:rPr>
          <w:rFonts w:cs="Calibri"/>
        </w:rPr>
      </w:pPr>
      <w:r w:rsidRPr="00283314">
        <w:rPr>
          <w:rFonts w:cs="Calibri"/>
        </w:rPr>
        <w:t>Planning permission was granted in August 2015 for the redevelopment of this site to deliver a mixed use scheme including A1 retail with A2 offices or A3 restaurants at ground floor level and 133 students on upper floors</w:t>
      </w:r>
      <w:r>
        <w:rPr>
          <w:rStyle w:val="FootnoteReference"/>
          <w:rFonts w:cs="Calibri"/>
        </w:rPr>
        <w:footnoteReference w:id="38"/>
      </w:r>
      <w:r w:rsidRPr="00283314">
        <w:rPr>
          <w:rFonts w:cs="Calibri"/>
        </w:rPr>
        <w:t>. Work commenced onsite in November 2015 and was completed</w:t>
      </w:r>
      <w:r>
        <w:rPr>
          <w:rFonts w:cs="Calibri"/>
        </w:rPr>
        <w:t xml:space="preserve"> in 2017.</w:t>
      </w:r>
      <w:r w:rsidRPr="00283314">
        <w:rPr>
          <w:rFonts w:cs="Calibri"/>
        </w:rPr>
        <w:t xml:space="preserve"> </w:t>
      </w:r>
      <w:r>
        <w:rPr>
          <w:rFonts w:cs="Calibri"/>
        </w:rPr>
        <w:t>The building was occupied</w:t>
      </w:r>
      <w:r w:rsidRPr="00283314">
        <w:rPr>
          <w:rFonts w:cs="Calibri"/>
        </w:rPr>
        <w:t xml:space="preserve"> by students for the academic year 2017/18.</w:t>
      </w:r>
      <w:r>
        <w:rPr>
          <w:rFonts w:cs="Calibri"/>
        </w:rPr>
        <w:t xml:space="preserve"> </w:t>
      </w:r>
    </w:p>
    <w:p w:rsidR="00126779" w:rsidRPr="00283314" w:rsidRDefault="00126779" w:rsidP="00126779">
      <w:pPr>
        <w:tabs>
          <w:tab w:val="left" w:pos="567"/>
        </w:tabs>
        <w:spacing w:line="276" w:lineRule="auto"/>
        <w:jc w:val="both"/>
        <w:rPr>
          <w:rFonts w:cs="Calibri"/>
        </w:rPr>
      </w:pPr>
    </w:p>
    <w:p w:rsidR="00126779" w:rsidRPr="00283314" w:rsidRDefault="00126779" w:rsidP="00126779">
      <w:pPr>
        <w:tabs>
          <w:tab w:val="left" w:pos="567"/>
        </w:tabs>
        <w:spacing w:line="276" w:lineRule="auto"/>
        <w:jc w:val="both"/>
        <w:rPr>
          <w:rFonts w:cs="Calibri"/>
        </w:rPr>
      </w:pPr>
    </w:p>
    <w:p w:rsidR="00126779" w:rsidRPr="00283314" w:rsidRDefault="00126779" w:rsidP="00126779">
      <w:pPr>
        <w:tabs>
          <w:tab w:val="left" w:pos="567"/>
        </w:tabs>
        <w:spacing w:line="276" w:lineRule="auto"/>
        <w:jc w:val="both"/>
        <w:rPr>
          <w:rFonts w:cs="Calibri"/>
        </w:rPr>
      </w:pPr>
    </w:p>
    <w:p w:rsidR="00126779" w:rsidRPr="00283314" w:rsidRDefault="00126779" w:rsidP="00126779">
      <w:pPr>
        <w:tabs>
          <w:tab w:val="left" w:pos="567"/>
        </w:tabs>
        <w:spacing w:line="276" w:lineRule="auto"/>
        <w:jc w:val="both"/>
        <w:rPr>
          <w:rFonts w:cs="Calibri"/>
        </w:rPr>
      </w:pPr>
    </w:p>
    <w:p w:rsidR="00126779" w:rsidRDefault="00126779" w:rsidP="00126779">
      <w:pPr>
        <w:tabs>
          <w:tab w:val="left" w:pos="567"/>
        </w:tabs>
        <w:spacing w:line="276" w:lineRule="auto"/>
        <w:jc w:val="both"/>
        <w:rPr>
          <w:rFonts w:cs="Calibri"/>
        </w:rPr>
      </w:pPr>
      <w:r>
        <w:rPr>
          <w:rFonts w:cs="Calibri"/>
          <w:noProof/>
          <w:lang w:eastAsia="en-GB"/>
        </w:rPr>
        <mc:AlternateContent>
          <mc:Choice Requires="wps">
            <w:drawing>
              <wp:anchor distT="0" distB="0" distL="114300" distR="114300" simplePos="0" relativeHeight="251692032" behindDoc="0" locked="0" layoutInCell="1" allowOverlap="1" wp14:anchorId="7B56EF77" wp14:editId="512DB1B9">
                <wp:simplePos x="0" y="0"/>
                <wp:positionH relativeFrom="column">
                  <wp:posOffset>2838450</wp:posOffset>
                </wp:positionH>
                <wp:positionV relativeFrom="paragraph">
                  <wp:posOffset>266700</wp:posOffset>
                </wp:positionV>
                <wp:extent cx="2686050" cy="2476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686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83F" w:rsidRPr="0087780A" w:rsidRDefault="0086183F" w:rsidP="00126779">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3</w:t>
                            </w:r>
                            <w:r>
                              <w:rPr>
                                <w:rFonts w:cs="Calibri"/>
                                <w:sz w:val="20"/>
                              </w:rPr>
                              <w:t>: 4-5 Queen Street</w:t>
                            </w:r>
                          </w:p>
                          <w:p w:rsidR="0086183F" w:rsidRDefault="0086183F" w:rsidP="00126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0" type="#_x0000_t202" style="position:absolute;left:0;text-align:left;margin-left:223.5pt;margin-top:21pt;width:211.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" fillcolor="white [3201]" stroked="f" strokeweight=".5pt">
                <v:textbox>
                  <w:txbxContent>
                    <w:p w:rsidR="0086183F" w:rsidRPr="0087780A" w:rsidRDefault="0086183F" w:rsidP="00126779">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3</w:t>
                      </w:r>
                      <w:r>
                        <w:rPr>
                          <w:rFonts w:cs="Calibri"/>
                          <w:sz w:val="20"/>
                        </w:rPr>
                        <w:t>: 4-5 Queen Street</w:t>
                      </w:r>
                    </w:p>
                    <w:p w:rsidR="0086183F" w:rsidRDefault="0086183F" w:rsidP="00126779"/>
                  </w:txbxContent>
                </v:textbox>
              </v:shape>
            </w:pict>
          </mc:Fallback>
        </mc:AlternateContent>
      </w:r>
    </w:p>
    <w:p w:rsidR="00126779" w:rsidRDefault="00126779" w:rsidP="00126779">
      <w:pPr>
        <w:tabs>
          <w:tab w:val="left" w:pos="567"/>
        </w:tabs>
        <w:spacing w:line="276" w:lineRule="auto"/>
        <w:jc w:val="both"/>
        <w:rPr>
          <w:rFonts w:cs="Calibri"/>
          <w:b/>
          <w:color w:val="632423" w:themeColor="accent2" w:themeShade="80"/>
        </w:rPr>
      </w:pPr>
      <w:proofErr w:type="spellStart"/>
      <w:r w:rsidRPr="00901E0C">
        <w:rPr>
          <w:rFonts w:cs="Calibri"/>
          <w:b/>
          <w:color w:val="632423" w:themeColor="accent2" w:themeShade="80"/>
        </w:rPr>
        <w:lastRenderedPageBreak/>
        <w:t>Oxpens</w:t>
      </w:r>
      <w:proofErr w:type="spellEnd"/>
      <w:r w:rsidRPr="00901E0C">
        <w:rPr>
          <w:rFonts w:cs="Calibri"/>
          <w:b/>
          <w:color w:val="632423" w:themeColor="accent2" w:themeShade="80"/>
        </w:rPr>
        <w:t xml:space="preserve"> </w:t>
      </w:r>
    </w:p>
    <w:p w:rsidR="00126779" w:rsidRPr="00283314" w:rsidRDefault="00126779" w:rsidP="00126779">
      <w:pPr>
        <w:tabs>
          <w:tab w:val="left" w:pos="567"/>
        </w:tabs>
        <w:spacing w:line="276" w:lineRule="auto"/>
        <w:jc w:val="both"/>
        <w:rPr>
          <w:rFonts w:cs="Calibri"/>
        </w:rPr>
      </w:pPr>
    </w:p>
    <w:p w:rsidR="00126779" w:rsidRDefault="00126779" w:rsidP="00126779">
      <w:pPr>
        <w:numPr>
          <w:ilvl w:val="0"/>
          <w:numId w:val="6"/>
        </w:numPr>
        <w:spacing w:after="200" w:line="276" w:lineRule="auto"/>
        <w:ind w:hanging="502"/>
        <w:jc w:val="both"/>
        <w:rPr>
          <w:rFonts w:eastAsia="Calibri" w:cs="Times New Roman"/>
          <w:szCs w:val="22"/>
        </w:rPr>
      </w:pPr>
      <w:r w:rsidRPr="00283314">
        <w:rPr>
          <w:rFonts w:eastAsia="Calibri" w:cs="Times New Roman"/>
          <w:szCs w:val="22"/>
        </w:rPr>
        <w:t xml:space="preserve">The </w:t>
      </w:r>
      <w:proofErr w:type="spellStart"/>
      <w:r w:rsidRPr="00283314">
        <w:rPr>
          <w:rFonts w:eastAsia="Calibri" w:cs="Times New Roman"/>
          <w:szCs w:val="22"/>
        </w:rPr>
        <w:t>Oxpens</w:t>
      </w:r>
      <w:proofErr w:type="spellEnd"/>
      <w:r w:rsidRPr="00283314">
        <w:rPr>
          <w:rFonts w:eastAsia="Calibri" w:cs="Times New Roman"/>
          <w:szCs w:val="22"/>
        </w:rPr>
        <w:t xml:space="preserve"> SPD was adopted in 2013</w:t>
      </w:r>
      <w:r>
        <w:rPr>
          <w:rFonts w:eastAsia="Calibri" w:cs="Times New Roman"/>
          <w:szCs w:val="22"/>
        </w:rPr>
        <w:t>. Oxford West End Development Limited (‘OXWED’), a</w:t>
      </w:r>
      <w:r w:rsidRPr="00283314">
        <w:rPr>
          <w:rFonts w:eastAsia="Calibri" w:cs="Times New Roman"/>
          <w:szCs w:val="22"/>
        </w:rPr>
        <w:t xml:space="preserve"> joint venture between Oxford City Council and </w:t>
      </w:r>
      <w:r>
        <w:rPr>
          <w:rFonts w:eastAsia="Calibri" w:cs="Times New Roman"/>
          <w:szCs w:val="22"/>
        </w:rPr>
        <w:t>Nuffield College has been formed</w:t>
      </w:r>
      <w:r w:rsidRPr="00283314">
        <w:rPr>
          <w:rFonts w:eastAsia="Calibri" w:cs="Times New Roman"/>
          <w:szCs w:val="22"/>
        </w:rPr>
        <w:t xml:space="preserve"> to deliv</w:t>
      </w:r>
      <w:r>
        <w:rPr>
          <w:rFonts w:eastAsia="Calibri" w:cs="Times New Roman"/>
          <w:szCs w:val="22"/>
        </w:rPr>
        <w:t>er the development of this site.</w:t>
      </w:r>
      <w:r w:rsidRPr="00283314">
        <w:rPr>
          <w:rFonts w:eastAsia="Calibri" w:cs="Times New Roman"/>
          <w:szCs w:val="22"/>
        </w:rPr>
        <w:t xml:space="preserve"> The site could deliver up to 500</w:t>
      </w:r>
      <w:r>
        <w:rPr>
          <w:rFonts w:eastAsia="Calibri" w:cs="Times New Roman"/>
          <w:szCs w:val="22"/>
        </w:rPr>
        <w:t xml:space="preserve"> new homes; retail; up to 10,400</w:t>
      </w:r>
      <w:r w:rsidRPr="00283314">
        <w:rPr>
          <w:rFonts w:eastAsia="Calibri" w:cs="Times New Roman"/>
          <w:szCs w:val="22"/>
        </w:rPr>
        <w:t>m</w:t>
      </w:r>
      <w:r>
        <w:rPr>
          <w:rFonts w:eastAsia="Calibri" w:cs="Times New Roman"/>
          <w:szCs w:val="22"/>
          <w:vertAlign w:val="superscript"/>
        </w:rPr>
        <w:t>2</w:t>
      </w:r>
      <w:r>
        <w:rPr>
          <w:rFonts w:eastAsia="Calibri" w:cs="Times New Roman"/>
          <w:szCs w:val="22"/>
        </w:rPr>
        <w:t xml:space="preserve"> of B1a offices and B1b research and development </w:t>
      </w:r>
      <w:proofErr w:type="spellStart"/>
      <w:r>
        <w:rPr>
          <w:rFonts w:eastAsia="Calibri" w:cs="Times New Roman"/>
          <w:szCs w:val="22"/>
        </w:rPr>
        <w:t>floorspace</w:t>
      </w:r>
      <w:proofErr w:type="spellEnd"/>
      <w:r>
        <w:rPr>
          <w:rFonts w:eastAsia="Calibri" w:cs="Times New Roman"/>
          <w:szCs w:val="22"/>
        </w:rPr>
        <w:t>; a hotel with around 155</w:t>
      </w:r>
      <w:r w:rsidRPr="00283314">
        <w:rPr>
          <w:rFonts w:eastAsia="Calibri" w:cs="Times New Roman"/>
          <w:szCs w:val="22"/>
        </w:rPr>
        <w:t xml:space="preserve"> bedrooms</w:t>
      </w:r>
      <w:r>
        <w:rPr>
          <w:rFonts w:eastAsia="Calibri" w:cs="Times New Roman"/>
          <w:szCs w:val="22"/>
        </w:rPr>
        <w:t>; and student accommodation. An</w:t>
      </w:r>
      <w:r w:rsidRPr="00283314">
        <w:rPr>
          <w:rFonts w:eastAsia="Calibri" w:cs="Times New Roman"/>
          <w:szCs w:val="22"/>
        </w:rPr>
        <w:t xml:space="preserve"> application (16/02945/FUL) for student accommodation with 500 rooms and small-scale retail and office units</w:t>
      </w:r>
      <w:r w:rsidRPr="00283314">
        <w:rPr>
          <w:rFonts w:eastAsia="Calibri" w:cs="Times New Roman"/>
          <w:szCs w:val="22"/>
          <w:vertAlign w:val="superscript"/>
        </w:rPr>
        <w:footnoteReference w:id="39"/>
      </w:r>
      <w:r w:rsidRPr="00283314">
        <w:rPr>
          <w:rFonts w:eastAsia="Calibri" w:cs="Times New Roman"/>
          <w:szCs w:val="22"/>
        </w:rPr>
        <w:t xml:space="preserve"> went to</w:t>
      </w:r>
      <w:r>
        <w:rPr>
          <w:rFonts w:eastAsia="Calibri" w:cs="Times New Roman"/>
          <w:szCs w:val="22"/>
        </w:rPr>
        <w:t xml:space="preserve"> planning committee in March 201</w:t>
      </w:r>
      <w:r w:rsidRPr="00283314">
        <w:rPr>
          <w:rFonts w:eastAsia="Calibri" w:cs="Times New Roman"/>
          <w:szCs w:val="22"/>
        </w:rPr>
        <w:t>7; planning committee resolved to grant permissio</w:t>
      </w:r>
      <w:r>
        <w:rPr>
          <w:rFonts w:eastAsia="Calibri" w:cs="Times New Roman"/>
          <w:szCs w:val="22"/>
        </w:rPr>
        <w:t>n subject to legal agreements. Since permission was granted in 2017, demolition work for the Student Castle Scheme has now commenced on site with the intention completion in 2020. Additionally, OXWED has gone to the open market to seek a development partner for the wi</w:t>
      </w:r>
      <w:r w:rsidR="00764EC2">
        <w:rPr>
          <w:rFonts w:eastAsia="Calibri" w:cs="Times New Roman"/>
          <w:szCs w:val="22"/>
        </w:rPr>
        <w:t>der masterplan area. It is anticipated</w:t>
      </w:r>
      <w:r>
        <w:rPr>
          <w:rFonts w:eastAsia="Calibri" w:cs="Times New Roman"/>
          <w:szCs w:val="22"/>
        </w:rPr>
        <w:t xml:space="preserve"> the development partner will be in place by the end of 2018. </w:t>
      </w:r>
    </w:p>
    <w:p w:rsidR="00126779" w:rsidRPr="0087780A" w:rsidRDefault="00126779" w:rsidP="00126779">
      <w:pPr>
        <w:spacing w:line="276" w:lineRule="auto"/>
        <w:jc w:val="both"/>
        <w:rPr>
          <w:rFonts w:eastAsia="Calibri" w:cs="Times New Roman"/>
          <w:sz w:val="10"/>
          <w:szCs w:val="22"/>
        </w:rPr>
      </w:pPr>
    </w:p>
    <w:p w:rsidR="00126779" w:rsidRPr="00283314" w:rsidRDefault="00126779" w:rsidP="00126779">
      <w:pPr>
        <w:spacing w:after="200"/>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Oxford Station SPD</w:t>
      </w:r>
    </w:p>
    <w:p w:rsidR="00126779" w:rsidRPr="00283314" w:rsidRDefault="00126779" w:rsidP="00126779">
      <w:pPr>
        <w:numPr>
          <w:ilvl w:val="0"/>
          <w:numId w:val="6"/>
        </w:numPr>
        <w:spacing w:after="200" w:line="276" w:lineRule="auto"/>
        <w:ind w:hanging="502"/>
        <w:jc w:val="both"/>
        <w:rPr>
          <w:rFonts w:eastAsia="Calibri" w:cs="Times New Roman"/>
          <w:szCs w:val="22"/>
        </w:rPr>
      </w:pPr>
      <w:r>
        <w:rPr>
          <w:rFonts w:eastAsia="Calibri" w:cs="Times New Roman"/>
          <w:szCs w:val="22"/>
        </w:rPr>
        <w:t>Work on bringing forward the redevelopment of Oxford train station continued during 2017/18.  The Supplementary Planning Document (SPD)</w:t>
      </w:r>
      <w:r w:rsidRPr="00283314">
        <w:rPr>
          <w:rFonts w:eastAsia="Calibri" w:cs="Times New Roman"/>
          <w:szCs w:val="22"/>
        </w:rPr>
        <w:t xml:space="preserve"> builds on work carried out for the Oxford Station Masterplan and an architectural competition held in 2016. The SPD further develops the station masterplan and includes a new station, a multi-modal transport interchange and car park</w:t>
      </w:r>
      <w:r>
        <w:rPr>
          <w:rFonts w:eastAsia="Calibri" w:cs="Times New Roman"/>
          <w:szCs w:val="22"/>
        </w:rPr>
        <w:t>,</w:t>
      </w:r>
      <w:r w:rsidRPr="00283314">
        <w:rPr>
          <w:rFonts w:eastAsia="Calibri" w:cs="Times New Roman"/>
          <w:szCs w:val="22"/>
        </w:rPr>
        <w:t xml:space="preserve"> as well as commercial and residential uses. </w:t>
      </w:r>
      <w:r>
        <w:rPr>
          <w:rFonts w:eastAsia="Calibri" w:cs="Times New Roman"/>
          <w:szCs w:val="22"/>
        </w:rPr>
        <w:t>The</w:t>
      </w:r>
      <w:r w:rsidRPr="00283314">
        <w:rPr>
          <w:rFonts w:eastAsia="Calibri" w:cs="Times New Roman"/>
          <w:szCs w:val="22"/>
        </w:rPr>
        <w:t xml:space="preserve"> City Council </w:t>
      </w:r>
      <w:r>
        <w:rPr>
          <w:rFonts w:eastAsia="Calibri" w:cs="Times New Roman"/>
          <w:szCs w:val="22"/>
        </w:rPr>
        <w:t>produced a</w:t>
      </w:r>
      <w:r w:rsidRPr="00283314">
        <w:rPr>
          <w:rFonts w:eastAsia="Calibri" w:cs="Times New Roman"/>
          <w:szCs w:val="22"/>
        </w:rPr>
        <w:t xml:space="preserve"> </w:t>
      </w:r>
      <w:r>
        <w:rPr>
          <w:rFonts w:eastAsia="Calibri" w:cs="Times New Roman"/>
          <w:szCs w:val="22"/>
        </w:rPr>
        <w:t>D</w:t>
      </w:r>
      <w:r w:rsidRPr="00283314">
        <w:rPr>
          <w:rFonts w:eastAsia="Calibri" w:cs="Times New Roman"/>
          <w:szCs w:val="22"/>
        </w:rPr>
        <w:t xml:space="preserve">raft </w:t>
      </w:r>
      <w:r>
        <w:rPr>
          <w:rFonts w:eastAsia="Calibri" w:cs="Times New Roman"/>
          <w:szCs w:val="22"/>
        </w:rPr>
        <w:t xml:space="preserve">Oxford </w:t>
      </w:r>
      <w:r w:rsidRPr="00283314">
        <w:rPr>
          <w:rFonts w:eastAsia="Calibri" w:cs="Times New Roman"/>
          <w:szCs w:val="22"/>
        </w:rPr>
        <w:t>Station Supplementary Planning Doc</w:t>
      </w:r>
      <w:r>
        <w:rPr>
          <w:rFonts w:eastAsia="Calibri" w:cs="Times New Roman"/>
          <w:szCs w:val="22"/>
        </w:rPr>
        <w:t xml:space="preserve">ument (SPD) that was consulted on during summer 2017. Following this consultation, the Oxford Station SPD was adopted in November 2017. </w:t>
      </w:r>
    </w:p>
    <w:bookmarkStart w:id="30" w:name="_Toc529178360"/>
    <w:p w:rsidR="00126779" w:rsidRPr="009844C4" w:rsidRDefault="00126779" w:rsidP="00B740FD">
      <w:pPr>
        <w:pStyle w:val="Heading2"/>
        <w:rPr>
          <w:rFonts w:eastAsia="Calibri" w:cs="Times New Roman"/>
          <w:szCs w:val="22"/>
        </w:rPr>
      </w:pPr>
      <w:r w:rsidRPr="00283314">
        <w:rPr>
          <w:rFonts w:eastAsia="Calibri" w:cs="Calibri"/>
          <w:noProof/>
          <w:color w:val="244061" w:themeColor="accent1" w:themeShade="80"/>
          <w:sz w:val="8"/>
          <w:szCs w:val="22"/>
          <w:highlight w:val="yellow"/>
        </w:rPr>
        <mc:AlternateContent>
          <mc:Choice Requires="wps">
            <w:drawing>
              <wp:anchor distT="0" distB="0" distL="114300" distR="114300" simplePos="0" relativeHeight="251687936" behindDoc="1" locked="0" layoutInCell="1" allowOverlap="1" wp14:anchorId="6107EC08" wp14:editId="07F6E958">
                <wp:simplePos x="0" y="0"/>
                <wp:positionH relativeFrom="column">
                  <wp:posOffset>-95250</wp:posOffset>
                </wp:positionH>
                <wp:positionV relativeFrom="paragraph">
                  <wp:posOffset>-9525</wp:posOffset>
                </wp:positionV>
                <wp:extent cx="5875655" cy="3257550"/>
                <wp:effectExtent l="0" t="0" r="0" b="0"/>
                <wp:wrapNone/>
                <wp:docPr id="256" name="Rectangle 256"/>
                <wp:cNvGraphicFramePr/>
                <a:graphic xmlns:a="http://schemas.openxmlformats.org/drawingml/2006/main">
                  <a:graphicData uri="http://schemas.microsoft.com/office/word/2010/wordprocessingShape">
                    <wps:wsp>
                      <wps:cNvSpPr/>
                      <wps:spPr>
                        <a:xfrm>
                          <a:off x="0" y="0"/>
                          <a:ext cx="5875655" cy="325755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633C37" id="Rectangle 256" o:spid="_x0000_s1026" style="position:absolute;margin-left:-7.5pt;margin-top:-.75pt;width:462.65pt;height:25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" fillcolor="#f2dcdb" stroked="f" strokeweight="2pt"/>
            </w:pict>
          </mc:Fallback>
        </mc:AlternateContent>
      </w:r>
      <w:r w:rsidRPr="00283314">
        <w:t>Indicator 23: BARTON AREA ACTION PLAN</w:t>
      </w:r>
      <w:bookmarkEnd w:id="30"/>
    </w:p>
    <w:p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Barton Area Action Plan</w:t>
      </w:r>
      <w:r w:rsidRPr="00283314">
        <w:rPr>
          <w:rFonts w:eastAsia="Calibri" w:cs="Times New Roman"/>
          <w:b/>
          <w:color w:val="632423" w:themeColor="accent2" w:themeShade="80"/>
          <w:szCs w:val="22"/>
        </w:rPr>
        <w:t xml:space="preserve"> (AAP) guides development and change at the Barton strategic site, aiming to deliver a development that reflects Oxford’s status as a world class city and which supports integration and sustainability.  The Barton AAP identifies five key objectives to support this vision:</w:t>
      </w:r>
    </w:p>
    <w:p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Deliver a strong and balance community</w:t>
      </w:r>
    </w:p>
    <w:p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Bring wider regeneration of neighbouring estates</w:t>
      </w:r>
    </w:p>
    <w:p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Improve accessibility and integration</w:t>
      </w:r>
    </w:p>
    <w:p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Encourage a low-carbon lifestyle</w:t>
      </w:r>
    </w:p>
    <w:p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Introduce design that is responsive and innovative.</w:t>
      </w:r>
    </w:p>
    <w:p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rsidR="00126779" w:rsidRPr="00283314" w:rsidRDefault="00126779" w:rsidP="00126779">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CS7, Barton Area Action Plan)</w:t>
      </w:r>
    </w:p>
    <w:p w:rsidR="00126779" w:rsidRPr="00283314" w:rsidRDefault="00126779" w:rsidP="00126779">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83314" w:rsidTr="00126779">
        <w:trPr>
          <w:trHeight w:val="218"/>
        </w:trPr>
        <w:tc>
          <w:tcPr>
            <w:tcW w:w="5420" w:type="dxa"/>
          </w:tcPr>
          <w:p w:rsidR="00126779" w:rsidRPr="00283314" w:rsidRDefault="00764EC2" w:rsidP="00126779">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2017/18</w:t>
            </w:r>
            <w:r w:rsidR="00126779" w:rsidRPr="00283314">
              <w:rPr>
                <w:rFonts w:cs="Calibri"/>
                <w:b/>
                <w:color w:val="632423" w:themeColor="accent2" w:themeShade="80"/>
                <w:szCs w:val="22"/>
              </w:rPr>
              <w:t>:</w:t>
            </w:r>
          </w:p>
        </w:tc>
        <w:tc>
          <w:tcPr>
            <w:tcW w:w="3714" w:type="dxa"/>
            <w:gridSpan w:val="2"/>
          </w:tcPr>
          <w:p w:rsidR="00126779" w:rsidRPr="00283314" w:rsidRDefault="00126779" w:rsidP="00126779">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126779" w:rsidRPr="00283314" w:rsidTr="00126779">
        <w:tc>
          <w:tcPr>
            <w:tcW w:w="5420" w:type="dxa"/>
            <w:vMerge w:val="restart"/>
          </w:tcPr>
          <w:p w:rsidR="00126779" w:rsidRPr="009B0669" w:rsidRDefault="00126779" w:rsidP="00126779">
            <w:pPr>
              <w:autoSpaceDE w:val="0"/>
              <w:autoSpaceDN w:val="0"/>
              <w:adjustRightInd w:val="0"/>
              <w:jc w:val="center"/>
              <w:rPr>
                <w:rFonts w:cs="Calibri"/>
                <w:b/>
                <w:color w:val="632423" w:themeColor="accent2" w:themeShade="80"/>
                <w:sz w:val="6"/>
                <w:szCs w:val="6"/>
              </w:rPr>
            </w:pPr>
          </w:p>
          <w:p w:rsidR="00126779" w:rsidRPr="00283314" w:rsidRDefault="00126779" w:rsidP="00126779">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266280CE" wp14:editId="2BF41C47">
                  <wp:extent cx="1388853" cy="418201"/>
                  <wp:effectExtent l="0" t="0" r="1905" b="1270"/>
                  <wp:docPr id="268" name="Picture 2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126779" w:rsidRPr="00283314" w:rsidRDefault="00126779" w:rsidP="00126779">
            <w:pPr>
              <w:autoSpaceDE w:val="0"/>
              <w:autoSpaceDN w:val="0"/>
              <w:adjustRightInd w:val="0"/>
              <w:jc w:val="center"/>
              <w:rPr>
                <w:rFonts w:cs="Calibri"/>
                <w:b/>
                <w:color w:val="632423" w:themeColor="accent2" w:themeShade="80"/>
                <w:szCs w:val="22"/>
              </w:rPr>
            </w:pPr>
          </w:p>
          <w:p w:rsidR="00126779" w:rsidRPr="001A698B" w:rsidRDefault="00126779" w:rsidP="00126779">
            <w:pPr>
              <w:autoSpaceDE w:val="0"/>
              <w:autoSpaceDN w:val="0"/>
              <w:adjustRightInd w:val="0"/>
              <w:jc w:val="center"/>
              <w:rPr>
                <w:rFonts w:cs="Calibri"/>
                <w:b/>
                <w:color w:val="632423" w:themeColor="accent2" w:themeShade="80"/>
                <w:sz w:val="14"/>
                <w:szCs w:val="22"/>
              </w:rPr>
            </w:pPr>
          </w:p>
        </w:tc>
        <w:tc>
          <w:tcPr>
            <w:tcW w:w="1101" w:type="dxa"/>
          </w:tcPr>
          <w:p w:rsidR="00126779" w:rsidRPr="00283314" w:rsidRDefault="00764EC2"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00126779" w:rsidRPr="00283314">
              <w:rPr>
                <w:rFonts w:cs="Calibri"/>
                <w:b/>
                <w:color w:val="632423" w:themeColor="accent2" w:themeShade="80"/>
                <w:szCs w:val="22"/>
              </w:rPr>
              <w:t>:</w:t>
            </w:r>
          </w:p>
        </w:tc>
        <w:tc>
          <w:tcPr>
            <w:tcW w:w="2613" w:type="dxa"/>
          </w:tcPr>
          <w:p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4EEDA789" wp14:editId="0E410126">
                  <wp:extent cx="819150" cy="256182"/>
                  <wp:effectExtent l="0" t="0" r="0" b="0"/>
                  <wp:docPr id="269" name="Picture 2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126779" w:rsidRPr="00283314" w:rsidRDefault="00126779" w:rsidP="00126779">
            <w:pPr>
              <w:autoSpaceDE w:val="0"/>
              <w:autoSpaceDN w:val="0"/>
              <w:adjustRightInd w:val="0"/>
              <w:jc w:val="center"/>
              <w:rPr>
                <w:rFonts w:cs="Calibri"/>
                <w:b/>
                <w:color w:val="632423" w:themeColor="accent2" w:themeShade="80"/>
                <w:sz w:val="8"/>
                <w:szCs w:val="8"/>
              </w:rPr>
            </w:pPr>
          </w:p>
        </w:tc>
      </w:tr>
      <w:tr w:rsidR="00126779" w:rsidRPr="00283314" w:rsidTr="00126779">
        <w:tc>
          <w:tcPr>
            <w:tcW w:w="5420" w:type="dxa"/>
            <w:vMerge/>
          </w:tcPr>
          <w:p w:rsidR="00126779" w:rsidRPr="00283314" w:rsidRDefault="00126779" w:rsidP="00126779">
            <w:pPr>
              <w:autoSpaceDE w:val="0"/>
              <w:autoSpaceDN w:val="0"/>
              <w:adjustRightInd w:val="0"/>
              <w:jc w:val="center"/>
              <w:rPr>
                <w:rFonts w:cs="Calibri"/>
                <w:b/>
                <w:color w:val="632423" w:themeColor="accent2" w:themeShade="80"/>
                <w:szCs w:val="22"/>
              </w:rPr>
            </w:pPr>
          </w:p>
        </w:tc>
        <w:tc>
          <w:tcPr>
            <w:tcW w:w="1101" w:type="dxa"/>
          </w:tcPr>
          <w:p w:rsidR="00126779" w:rsidRPr="00283314" w:rsidRDefault="00764EC2"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00126779" w:rsidRPr="00283314">
              <w:rPr>
                <w:rFonts w:cs="Calibri"/>
                <w:b/>
                <w:color w:val="632423" w:themeColor="accent2" w:themeShade="80"/>
                <w:szCs w:val="22"/>
              </w:rPr>
              <w:t>:</w:t>
            </w:r>
          </w:p>
        </w:tc>
        <w:tc>
          <w:tcPr>
            <w:tcW w:w="2613" w:type="dxa"/>
          </w:tcPr>
          <w:p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6ED5C221" wp14:editId="19855617">
                  <wp:extent cx="819150" cy="256182"/>
                  <wp:effectExtent l="0" t="0" r="0" b="0"/>
                  <wp:docPr id="270" name="Picture 27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9B0669" w:rsidRDefault="00126779" w:rsidP="00126779">
      <w:pPr>
        <w:spacing w:line="276" w:lineRule="auto"/>
        <w:jc w:val="both"/>
        <w:rPr>
          <w:rFonts w:eastAsia="Calibri" w:cs="Times New Roman"/>
          <w:sz w:val="6"/>
          <w:szCs w:val="6"/>
        </w:rPr>
      </w:pPr>
    </w:p>
    <w:p w:rsidR="00126779" w:rsidRPr="00283314" w:rsidRDefault="00126779" w:rsidP="00126779">
      <w:pPr>
        <w:numPr>
          <w:ilvl w:val="0"/>
          <w:numId w:val="6"/>
        </w:numPr>
        <w:spacing w:after="200" w:line="276" w:lineRule="auto"/>
        <w:ind w:hanging="502"/>
        <w:jc w:val="both"/>
        <w:rPr>
          <w:rFonts w:eastAsia="Calibri" w:cs="Times New Roman"/>
          <w:szCs w:val="22"/>
        </w:rPr>
      </w:pPr>
      <w:r w:rsidRPr="00283314">
        <w:rPr>
          <w:rFonts w:eastAsia="Calibri" w:cs="Times New Roman"/>
          <w:szCs w:val="22"/>
        </w:rPr>
        <w:lastRenderedPageBreak/>
        <w:t>Policy CS7 of the Core Strategy, supported by the Barton AAP, allocates 36ha of land in the north of the city between Barton and Northway (known as land at Barton) for a predominately residential development of 800-1,200 new dwellings. This is the largest residential development opportunity in the city.</w:t>
      </w:r>
    </w:p>
    <w:p w:rsidR="00126779" w:rsidRPr="00283314" w:rsidRDefault="00126779" w:rsidP="00126779">
      <w:pPr>
        <w:numPr>
          <w:ilvl w:val="0"/>
          <w:numId w:val="6"/>
        </w:numPr>
        <w:spacing w:after="200" w:line="276" w:lineRule="auto"/>
        <w:ind w:hanging="502"/>
        <w:jc w:val="both"/>
        <w:rPr>
          <w:rFonts w:eastAsia="Calibri" w:cs="Times New Roman"/>
          <w:szCs w:val="22"/>
        </w:rPr>
      </w:pPr>
      <w:r w:rsidRPr="00283314">
        <w:rPr>
          <w:rFonts w:eastAsia="Calibri" w:cs="Times New Roman"/>
          <w:szCs w:val="22"/>
        </w:rPr>
        <w:t>Outline planning permission was granted in September 2013 for means of access for the erection of a maximum of 885 residential units</w:t>
      </w:r>
      <w:r>
        <w:rPr>
          <w:rFonts w:eastAsia="Calibri" w:cs="Times New Roman"/>
          <w:szCs w:val="22"/>
        </w:rPr>
        <w:t xml:space="preserve"> (Class C3); a maximum of 2,500</w:t>
      </w:r>
      <w:r w:rsidRPr="00283314">
        <w:rPr>
          <w:rFonts w:eastAsia="Calibri" w:cs="Times New Roman"/>
          <w:szCs w:val="22"/>
        </w:rPr>
        <w:t>m</w:t>
      </w:r>
      <w:r w:rsidRPr="00283314">
        <w:rPr>
          <w:rFonts w:eastAsia="Calibri" w:cs="Times New Roman"/>
          <w:szCs w:val="22"/>
          <w:vertAlign w:val="superscript"/>
        </w:rPr>
        <w:t>2</w:t>
      </w:r>
      <w:r w:rsidRPr="00283314">
        <w:rPr>
          <w:rFonts w:eastAsia="Calibri" w:cs="Times New Roman"/>
          <w:szCs w:val="22"/>
        </w:rPr>
        <w:t xml:space="preserve"> gross Class A1, A2, A3, A4 and A5 uses (with a maximum of 2,000m</w:t>
      </w:r>
      <w:r w:rsidRPr="00283314">
        <w:rPr>
          <w:rFonts w:eastAsia="Calibri" w:cs="Times New Roman"/>
          <w:szCs w:val="22"/>
          <w:vertAlign w:val="superscript"/>
        </w:rPr>
        <w:t>2</w:t>
      </w:r>
      <w:r w:rsidRPr="00283314">
        <w:rPr>
          <w:rFonts w:eastAsia="Calibri" w:cs="Times New Roman"/>
          <w:szCs w:val="22"/>
        </w:rPr>
        <w:t xml:space="preserve"> gross food store Class A1); a maximum of 50 extra care ho</w:t>
      </w:r>
      <w:r>
        <w:rPr>
          <w:rFonts w:eastAsia="Calibri" w:cs="Times New Roman"/>
          <w:szCs w:val="22"/>
        </w:rPr>
        <w:t>using units; a maximum of 7,350</w:t>
      </w:r>
      <w:r w:rsidRPr="00283314">
        <w:rPr>
          <w:rFonts w:eastAsia="Calibri" w:cs="Times New Roman"/>
          <w:szCs w:val="22"/>
        </w:rPr>
        <w:t>m</w:t>
      </w:r>
      <w:r w:rsidRPr="00283314">
        <w:rPr>
          <w:rFonts w:eastAsia="Calibri" w:cs="Times New Roman"/>
          <w:szCs w:val="22"/>
          <w:vertAlign w:val="superscript"/>
        </w:rPr>
        <w:t>2</w:t>
      </w:r>
      <w:r w:rsidRPr="00283314">
        <w:rPr>
          <w:rFonts w:eastAsia="Calibri" w:cs="Times New Roman"/>
          <w:szCs w:val="22"/>
        </w:rPr>
        <w:t xml:space="preserve"> GEA hotel (Cl</w:t>
      </w:r>
      <w:r>
        <w:rPr>
          <w:rFonts w:eastAsia="Calibri" w:cs="Times New Roman"/>
          <w:szCs w:val="22"/>
        </w:rPr>
        <w:t>ass C1); and a maximum of 3,000</w:t>
      </w:r>
      <w:r w:rsidRPr="00283314">
        <w:rPr>
          <w:rFonts w:eastAsia="Calibri" w:cs="Times New Roman"/>
          <w:szCs w:val="22"/>
        </w:rPr>
        <w:t>m</w:t>
      </w:r>
      <w:r w:rsidRPr="00283314">
        <w:rPr>
          <w:rFonts w:eastAsia="Calibri" w:cs="Times New Roman"/>
          <w:szCs w:val="22"/>
          <w:vertAlign w:val="superscript"/>
        </w:rPr>
        <w:t>2</w:t>
      </w:r>
      <w:r w:rsidRPr="00283314">
        <w:rPr>
          <w:rFonts w:eastAsia="Calibri" w:cs="Times New Roman"/>
          <w:szCs w:val="22"/>
        </w:rPr>
        <w:t xml:space="preserve"> GEA Class D1, D2 </w:t>
      </w:r>
      <w:proofErr w:type="spellStart"/>
      <w:r w:rsidRPr="00283314">
        <w:rPr>
          <w:rFonts w:eastAsia="Calibri" w:cs="Times New Roman"/>
          <w:szCs w:val="22"/>
        </w:rPr>
        <w:t>floorspace</w:t>
      </w:r>
      <w:proofErr w:type="spellEnd"/>
      <w:r w:rsidRPr="00283314">
        <w:rPr>
          <w:rFonts w:eastAsia="Calibri" w:cs="Times New Roman"/>
          <w:szCs w:val="22"/>
        </w:rPr>
        <w:t xml:space="preserve"> (community hub) in development blocks ranging from 2 to 5 storeys with associated cycle and car parking, landscaping, public realm works, interim works and associated highway works</w:t>
      </w:r>
      <w:r>
        <w:rPr>
          <w:rFonts w:eastAsia="Calibri" w:cs="Times New Roman"/>
          <w:szCs w:val="22"/>
        </w:rPr>
        <w:t>.</w:t>
      </w:r>
      <w:r w:rsidRPr="00283314">
        <w:rPr>
          <w:rFonts w:eastAsia="Calibri" w:cs="Times New Roman"/>
          <w:szCs w:val="22"/>
          <w:vertAlign w:val="superscript"/>
        </w:rPr>
        <w:footnoteReference w:id="40"/>
      </w:r>
      <w:r w:rsidRPr="00283314">
        <w:rPr>
          <w:rFonts w:eastAsia="Calibri" w:cs="Times New Roman"/>
          <w:szCs w:val="22"/>
        </w:rPr>
        <w:t xml:space="preserve"> </w:t>
      </w:r>
      <w:r w:rsidRPr="00283314">
        <w:rPr>
          <w:rFonts w:asciiTheme="minorHAnsi" w:eastAsia="Calibri" w:hAnsiTheme="minorHAnsi" w:cstheme="minorHAnsi"/>
          <w:szCs w:val="22"/>
        </w:rPr>
        <w:t>A reserved matters</w:t>
      </w:r>
      <w:r w:rsidRPr="00283314">
        <w:rPr>
          <w:rFonts w:asciiTheme="minorHAnsi" w:hAnsiTheme="minorHAnsi" w:cstheme="minorHAnsi"/>
          <w:szCs w:val="22"/>
        </w:rPr>
        <w:t xml:space="preserve"> application for works needed to prepare the site for development was approved in February 2015</w:t>
      </w:r>
      <w:r w:rsidRPr="00283314">
        <w:rPr>
          <w:rFonts w:asciiTheme="minorHAnsi" w:hAnsiTheme="minorHAnsi" w:cstheme="minorHAnsi"/>
          <w:szCs w:val="22"/>
          <w:vertAlign w:val="superscript"/>
        </w:rPr>
        <w:footnoteReference w:id="41"/>
      </w:r>
      <w:r w:rsidRPr="00283314">
        <w:rPr>
          <w:rFonts w:asciiTheme="minorHAnsi" w:hAnsiTheme="minorHAnsi" w:cstheme="minorHAnsi"/>
          <w:szCs w:val="22"/>
        </w:rPr>
        <w:t xml:space="preserve">; work commenced on site in </w:t>
      </w:r>
      <w:proofErr w:type="gramStart"/>
      <w:r w:rsidRPr="00283314">
        <w:rPr>
          <w:rFonts w:asciiTheme="minorHAnsi" w:hAnsiTheme="minorHAnsi" w:cstheme="minorHAnsi"/>
          <w:szCs w:val="22"/>
        </w:rPr>
        <w:t>Summer</w:t>
      </w:r>
      <w:proofErr w:type="gramEnd"/>
      <w:r w:rsidRPr="00283314">
        <w:rPr>
          <w:rFonts w:asciiTheme="minorHAnsi" w:hAnsiTheme="minorHAnsi" w:cstheme="minorHAnsi"/>
          <w:szCs w:val="22"/>
        </w:rPr>
        <w:t xml:space="preserve"> 2015. The new junction on the A40, connecting Barton Park to No</w:t>
      </w:r>
      <w:r>
        <w:rPr>
          <w:rFonts w:asciiTheme="minorHAnsi" w:hAnsiTheme="minorHAnsi" w:cstheme="minorHAnsi"/>
          <w:szCs w:val="22"/>
        </w:rPr>
        <w:t>rthway, was completed in May 201</w:t>
      </w:r>
      <w:r w:rsidRPr="00283314">
        <w:rPr>
          <w:rFonts w:asciiTheme="minorHAnsi" w:hAnsiTheme="minorHAnsi" w:cstheme="minorHAnsi"/>
          <w:szCs w:val="22"/>
        </w:rPr>
        <w:t xml:space="preserve">7 and opened in August 2017. </w:t>
      </w:r>
    </w:p>
    <w:p w:rsidR="00126779" w:rsidRDefault="00126779" w:rsidP="00126779">
      <w:pPr>
        <w:numPr>
          <w:ilvl w:val="0"/>
          <w:numId w:val="6"/>
        </w:numPr>
        <w:spacing w:after="120" w:line="276" w:lineRule="auto"/>
        <w:ind w:left="505" w:hanging="505"/>
        <w:jc w:val="both"/>
        <w:rPr>
          <w:rFonts w:eastAsia="Calibri" w:cs="Times New Roman"/>
          <w:szCs w:val="22"/>
        </w:rPr>
      </w:pPr>
      <w:r w:rsidRPr="00283314">
        <w:rPr>
          <w:rFonts w:asciiTheme="minorHAnsi" w:hAnsiTheme="minorHAnsi" w:cstheme="minorHAnsi"/>
          <w:szCs w:val="22"/>
        </w:rPr>
        <w:t xml:space="preserve"> </w:t>
      </w:r>
      <w:r w:rsidRPr="00283314">
        <w:rPr>
          <w:rFonts w:eastAsia="Calibri" w:cs="Times New Roman"/>
          <w:szCs w:val="22"/>
        </w:rPr>
        <w:t>A further reserved matters application for Phase 1 of the development (237 dwellings,) was approved in March 2016</w:t>
      </w:r>
      <w:r w:rsidRPr="00283314">
        <w:rPr>
          <w:rFonts w:eastAsia="Calibri" w:cs="Times New Roman"/>
          <w:szCs w:val="22"/>
          <w:vertAlign w:val="superscript"/>
        </w:rPr>
        <w:footnoteReference w:id="42"/>
      </w:r>
      <w:r w:rsidRPr="00283314">
        <w:rPr>
          <w:rFonts w:eastAsia="Calibri" w:cs="Times New Roman"/>
          <w:szCs w:val="22"/>
        </w:rPr>
        <w:t>, and construction began in January 2017. Phase 1 includes 40% affordable housing (95 units), all of which will be provided as social rent. Two f</w:t>
      </w:r>
      <w:r w:rsidRPr="00417CFB">
        <w:rPr>
          <w:rFonts w:eastAsia="Calibri" w:cs="Times New Roman"/>
          <w:szCs w:val="22"/>
        </w:rPr>
        <w:t>urther reserved matters applications for community sports facilities and a community sports pavilion were approved in April and December 2016</w:t>
      </w:r>
      <w:r>
        <w:rPr>
          <w:rFonts w:eastAsia="Calibri" w:cs="Times New Roman"/>
          <w:szCs w:val="22"/>
        </w:rPr>
        <w:t>.</w:t>
      </w:r>
      <w:r w:rsidRPr="00283314">
        <w:rPr>
          <w:rFonts w:eastAsia="Calibri" w:cs="Times New Roman"/>
          <w:szCs w:val="22"/>
          <w:vertAlign w:val="superscript"/>
        </w:rPr>
        <w:footnoteReference w:id="43"/>
      </w:r>
      <w:r w:rsidRPr="00417CFB">
        <w:rPr>
          <w:rFonts w:eastAsia="Calibri" w:cs="Times New Roman"/>
          <w:szCs w:val="22"/>
        </w:rPr>
        <w:t xml:space="preserve"> </w:t>
      </w:r>
      <w:r w:rsidRPr="00764EC2">
        <w:rPr>
          <w:rFonts w:eastAsia="Calibri" w:cs="Times New Roman"/>
          <w:szCs w:val="22"/>
        </w:rPr>
        <w:t xml:space="preserve">The first homes were marketed for sale in September 2017, with the first residents moving into Phase 1 of the development in July 2018. Work is on-going to bring forward the subsequent phases of development. In February 2018, Grosvenor announced house builder </w:t>
      </w:r>
      <w:proofErr w:type="spellStart"/>
      <w:r w:rsidRPr="00764EC2">
        <w:rPr>
          <w:rFonts w:eastAsia="Calibri" w:cs="Times New Roman"/>
          <w:szCs w:val="22"/>
        </w:rPr>
        <w:t>Redrow</w:t>
      </w:r>
      <w:proofErr w:type="spellEnd"/>
      <w:r w:rsidRPr="00764EC2">
        <w:rPr>
          <w:rFonts w:eastAsia="Calibri" w:cs="Times New Roman"/>
          <w:szCs w:val="22"/>
        </w:rPr>
        <w:t xml:space="preserve"> Homes had been appointed to deliver over 200 further dwellings for the second phase of the development.</w:t>
      </w:r>
      <w:r>
        <w:rPr>
          <w:rFonts w:eastAsia="Calibri" w:cs="Times New Roman"/>
          <w:szCs w:val="22"/>
        </w:rPr>
        <w:t xml:space="preserve"> </w:t>
      </w:r>
    </w:p>
    <w:p w:rsidR="00126779" w:rsidRDefault="00126779"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Default="00500DD3" w:rsidP="00126779">
      <w:pPr>
        <w:spacing w:after="120" w:line="276" w:lineRule="auto"/>
        <w:ind w:left="505"/>
        <w:jc w:val="both"/>
        <w:rPr>
          <w:rFonts w:eastAsia="Calibri" w:cs="Times New Roman"/>
          <w:szCs w:val="22"/>
        </w:rPr>
      </w:pPr>
    </w:p>
    <w:p w:rsidR="00500DD3" w:rsidRPr="00417CFB" w:rsidRDefault="00500DD3" w:rsidP="00126779">
      <w:pPr>
        <w:spacing w:after="120" w:line="276" w:lineRule="auto"/>
        <w:ind w:left="505"/>
        <w:jc w:val="both"/>
        <w:rPr>
          <w:rFonts w:eastAsia="Calibri" w:cs="Times New Roman"/>
          <w:szCs w:val="22"/>
        </w:rPr>
      </w:pPr>
    </w:p>
    <w:bookmarkStart w:id="31" w:name="_Toc529178361"/>
    <w:p w:rsidR="00126779" w:rsidRPr="00283314" w:rsidRDefault="00126779" w:rsidP="00126779">
      <w:pPr>
        <w:outlineLvl w:val="1"/>
        <w:rPr>
          <w:rFonts w:asciiTheme="minorHAnsi" w:hAnsiTheme="minorHAnsi"/>
          <w:b/>
          <w:sz w:val="24"/>
          <w:lang w:eastAsia="en-GB"/>
        </w:rPr>
      </w:pPr>
      <w:r w:rsidRPr="00283314">
        <w:rPr>
          <w:rFonts w:asciiTheme="minorHAnsi" w:eastAsia="Calibri" w:hAnsiTheme="minorHAnsi" w:cs="Calibri"/>
          <w:noProof/>
          <w:color w:val="244061" w:themeColor="accent1" w:themeShade="80"/>
          <w:sz w:val="8"/>
          <w:szCs w:val="22"/>
          <w:highlight w:val="yellow"/>
          <w:lang w:eastAsia="en-GB"/>
        </w:rPr>
        <w:lastRenderedPageBreak/>
        <mc:AlternateContent>
          <mc:Choice Requires="wps">
            <w:drawing>
              <wp:anchor distT="0" distB="0" distL="114300" distR="114300" simplePos="0" relativeHeight="251688960" behindDoc="1" locked="0" layoutInCell="1" allowOverlap="1" wp14:anchorId="2B446BA0" wp14:editId="7AE1A699">
                <wp:simplePos x="0" y="0"/>
                <wp:positionH relativeFrom="column">
                  <wp:posOffset>-66675</wp:posOffset>
                </wp:positionH>
                <wp:positionV relativeFrom="paragraph">
                  <wp:posOffset>-24765</wp:posOffset>
                </wp:positionV>
                <wp:extent cx="5924550" cy="3305175"/>
                <wp:effectExtent l="0" t="0" r="0" b="9525"/>
                <wp:wrapNone/>
                <wp:docPr id="257" name="Rectangle 257"/>
                <wp:cNvGraphicFramePr/>
                <a:graphic xmlns:a="http://schemas.openxmlformats.org/drawingml/2006/main">
                  <a:graphicData uri="http://schemas.microsoft.com/office/word/2010/wordprocessingShape">
                    <wps:wsp>
                      <wps:cNvSpPr/>
                      <wps:spPr>
                        <a:xfrm>
                          <a:off x="0" y="0"/>
                          <a:ext cx="5924550" cy="330517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66EA9A" id="Rectangle 257" o:spid="_x0000_s1026" style="position:absolute;margin-left:-5.25pt;margin-top:-1.95pt;width:466.5pt;height:26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" fillcolor="#f2dcdb" stroked="f" strokeweight="2pt"/>
            </w:pict>
          </mc:Fallback>
        </mc:AlternateContent>
      </w:r>
      <w:r w:rsidRPr="00283314">
        <w:rPr>
          <w:rFonts w:asciiTheme="minorHAnsi" w:hAnsiTheme="minorHAnsi"/>
          <w:b/>
          <w:sz w:val="24"/>
          <w:lang w:eastAsia="en-GB"/>
        </w:rPr>
        <w:t>Indicator 24: NORTHERN GATEWAY AREA ACTION PLAN</w:t>
      </w:r>
      <w:bookmarkEnd w:id="31"/>
    </w:p>
    <w:p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Northern Gateway Area Action Plan</w:t>
      </w:r>
      <w:r w:rsidRPr="00283314">
        <w:rPr>
          <w:rFonts w:eastAsia="Calibri" w:cs="Times New Roman"/>
          <w:b/>
          <w:color w:val="632423" w:themeColor="accent2" w:themeShade="80"/>
          <w:szCs w:val="22"/>
        </w:rPr>
        <w:t xml:space="preserve"> (AAP) guides development and change at the Northern Gateway. It aspires to create a vibrant and successful extension to Oxford, with a flourishing community of knowledge-based industries and modern new homes.  The Northern Gateway AAP identifies six key objectives to support this vision:</w:t>
      </w:r>
    </w:p>
    <w:p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Strengthen Oxford’s knowledge-based economy</w:t>
      </w:r>
    </w:p>
    <w:p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Provide more housing</w:t>
      </w:r>
    </w:p>
    <w:p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Improve the local and strategic road network and other transport connections</w:t>
      </w:r>
    </w:p>
    <w:p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Respond to the context of the natural and historic environment</w:t>
      </w:r>
    </w:p>
    <w:p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Create a gateway to Oxford</w:t>
      </w:r>
    </w:p>
    <w:p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Encourage a low-carbon lifestyle/economy</w:t>
      </w:r>
    </w:p>
    <w:p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rsidR="00126779" w:rsidRPr="00283314" w:rsidRDefault="00126779" w:rsidP="00126779">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CS6, Northern Gateway Area Action Plan)</w:t>
      </w:r>
    </w:p>
    <w:p w:rsidR="00126779" w:rsidRPr="00283314" w:rsidRDefault="00126779" w:rsidP="00126779">
      <w:pPr>
        <w:autoSpaceDE w:val="0"/>
        <w:autoSpaceDN w:val="0"/>
        <w:adjustRightInd w:val="0"/>
        <w:jc w:val="both"/>
        <w:rPr>
          <w:rFonts w:eastAsia="Calibri" w:cs="Calibri"/>
          <w:b/>
          <w:color w:val="632423" w:themeColor="accent2" w:themeShade="80"/>
          <w:sz w:val="10"/>
          <w:szCs w:val="10"/>
        </w:rPr>
      </w:pPr>
    </w:p>
    <w:tbl>
      <w:tblPr>
        <w:tblStyle w:val="TableGrid5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5410"/>
        <w:gridCol w:w="1116"/>
        <w:gridCol w:w="2796"/>
      </w:tblGrid>
      <w:tr w:rsidR="00126779" w:rsidRPr="00283314" w:rsidTr="00126779">
        <w:trPr>
          <w:trHeight w:val="218"/>
        </w:trPr>
        <w:tc>
          <w:tcPr>
            <w:tcW w:w="5410" w:type="dxa"/>
            <w:shd w:val="clear" w:color="auto" w:fill="F2DBDB" w:themeFill="accent2" w:themeFillTint="33"/>
          </w:tcPr>
          <w:p w:rsidR="00126779" w:rsidRPr="00283314" w:rsidRDefault="00764EC2" w:rsidP="00126779">
            <w:pPr>
              <w:autoSpaceDE w:val="0"/>
              <w:autoSpaceDN w:val="0"/>
              <w:adjustRightInd w:val="0"/>
              <w:rPr>
                <w:rFonts w:asciiTheme="minorHAnsi" w:hAnsiTheme="minorHAnsi" w:cstheme="minorHAnsi"/>
                <w:b/>
                <w:noProof/>
                <w:color w:val="632423" w:themeColor="accent2" w:themeShade="80"/>
                <w:sz w:val="24"/>
              </w:rPr>
            </w:pPr>
            <w:r>
              <w:rPr>
                <w:rFonts w:asciiTheme="minorHAnsi" w:hAnsiTheme="minorHAnsi" w:cstheme="minorHAnsi"/>
                <w:b/>
                <w:color w:val="632423" w:themeColor="accent2" w:themeShade="80"/>
                <w:sz w:val="24"/>
              </w:rPr>
              <w:t>Performance against target 2017/18</w:t>
            </w:r>
            <w:r w:rsidR="00126779" w:rsidRPr="00283314">
              <w:rPr>
                <w:rFonts w:asciiTheme="minorHAnsi" w:hAnsiTheme="minorHAnsi" w:cstheme="minorHAnsi"/>
                <w:b/>
                <w:color w:val="632423" w:themeColor="accent2" w:themeShade="80"/>
                <w:sz w:val="24"/>
              </w:rPr>
              <w:t>:</w:t>
            </w:r>
          </w:p>
        </w:tc>
        <w:tc>
          <w:tcPr>
            <w:tcW w:w="3912" w:type="dxa"/>
            <w:gridSpan w:val="2"/>
            <w:shd w:val="clear" w:color="auto" w:fill="F2DBDB" w:themeFill="accent2" w:themeFillTint="33"/>
          </w:tcPr>
          <w:p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Performance in previous two years:</w:t>
            </w:r>
          </w:p>
        </w:tc>
      </w:tr>
      <w:tr w:rsidR="00126779" w:rsidRPr="00283314" w:rsidTr="00126779">
        <w:tc>
          <w:tcPr>
            <w:tcW w:w="5410" w:type="dxa"/>
            <w:shd w:val="clear" w:color="auto" w:fill="F2DBDB" w:themeFill="accent2" w:themeFillTint="33"/>
          </w:tcPr>
          <w:p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p>
        </w:tc>
        <w:tc>
          <w:tcPr>
            <w:tcW w:w="1116" w:type="dxa"/>
            <w:shd w:val="clear" w:color="auto" w:fill="F2DBDB" w:themeFill="accent2" w:themeFillTint="33"/>
          </w:tcPr>
          <w:p w:rsidR="00126779" w:rsidRPr="00283314" w:rsidRDefault="00126779" w:rsidP="00764EC2">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w:t>
            </w:r>
            <w:r w:rsidR="00764EC2">
              <w:rPr>
                <w:rFonts w:asciiTheme="minorHAnsi" w:hAnsiTheme="minorHAnsi" w:cstheme="minorHAnsi"/>
                <w:b/>
                <w:color w:val="632423" w:themeColor="accent2" w:themeShade="80"/>
                <w:sz w:val="24"/>
              </w:rPr>
              <w:t>6/17</w:t>
            </w:r>
            <w:r w:rsidRPr="00283314">
              <w:rPr>
                <w:rFonts w:asciiTheme="minorHAnsi" w:hAnsiTheme="minorHAnsi" w:cstheme="minorHAnsi"/>
                <w:b/>
                <w:color w:val="632423" w:themeColor="accent2" w:themeShade="80"/>
                <w:sz w:val="24"/>
              </w:rPr>
              <w:t>:</w:t>
            </w:r>
          </w:p>
        </w:tc>
        <w:tc>
          <w:tcPr>
            <w:tcW w:w="2796" w:type="dxa"/>
            <w:shd w:val="clear" w:color="auto" w:fill="F2DBDB" w:themeFill="accent2" w:themeFillTint="33"/>
          </w:tcPr>
          <w:p w:rsidR="00126779" w:rsidRPr="00283314" w:rsidRDefault="00126779" w:rsidP="00126779">
            <w:pPr>
              <w:autoSpaceDE w:val="0"/>
              <w:autoSpaceDN w:val="0"/>
              <w:adjustRightInd w:val="0"/>
              <w:rPr>
                <w:rFonts w:asciiTheme="minorHAnsi" w:hAnsiTheme="minorHAnsi" w:cstheme="minorHAnsi"/>
                <w:b/>
                <w:noProof/>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126779" w:rsidRPr="00283314" w:rsidTr="00126779">
        <w:tc>
          <w:tcPr>
            <w:tcW w:w="5410" w:type="dxa"/>
            <w:vMerge w:val="restart"/>
            <w:shd w:val="clear" w:color="auto" w:fill="F2DBDB" w:themeFill="accent2" w:themeFillTint="33"/>
          </w:tcPr>
          <w:p w:rsidR="00126779" w:rsidRPr="00283314" w:rsidRDefault="00126779" w:rsidP="00126779">
            <w:pPr>
              <w:autoSpaceDE w:val="0"/>
              <w:autoSpaceDN w:val="0"/>
              <w:adjustRightInd w:val="0"/>
              <w:jc w:val="center"/>
              <w:rPr>
                <w:rFonts w:asciiTheme="minorHAnsi" w:hAnsiTheme="minorHAnsi" w:cstheme="minorHAnsi"/>
                <w:b/>
                <w:color w:val="632423" w:themeColor="accent2" w:themeShade="80"/>
                <w:sz w:val="28"/>
                <w:szCs w:val="28"/>
              </w:rPr>
            </w:pPr>
            <w:r w:rsidRPr="00283314">
              <w:rPr>
                <w:rFonts w:asciiTheme="minorHAnsi" w:hAnsiTheme="minorHAnsi" w:cstheme="minorHAnsi"/>
                <w:b/>
                <w:noProof/>
                <w:color w:val="632423" w:themeColor="accent2" w:themeShade="80"/>
                <w:sz w:val="28"/>
                <w:szCs w:val="28"/>
              </w:rPr>
              <w:t>N/A</w:t>
            </w:r>
          </w:p>
        </w:tc>
        <w:tc>
          <w:tcPr>
            <w:tcW w:w="1116" w:type="dxa"/>
            <w:shd w:val="clear" w:color="auto" w:fill="F2DBDB" w:themeFill="accent2" w:themeFillTint="33"/>
          </w:tcPr>
          <w:p w:rsidR="00126779" w:rsidRPr="00283314" w:rsidRDefault="00764EC2" w:rsidP="00126779">
            <w:pPr>
              <w:autoSpaceDE w:val="0"/>
              <w:autoSpaceDN w:val="0"/>
              <w:adjustRightInd w:val="0"/>
              <w:rPr>
                <w:rFonts w:asciiTheme="minorHAnsi" w:hAnsiTheme="minorHAnsi" w:cstheme="minorHAnsi"/>
                <w:b/>
                <w:color w:val="632423" w:themeColor="accent2" w:themeShade="80"/>
                <w:sz w:val="24"/>
              </w:rPr>
            </w:pPr>
            <w:r>
              <w:rPr>
                <w:rFonts w:asciiTheme="minorHAnsi" w:hAnsiTheme="minorHAnsi" w:cstheme="minorHAnsi"/>
                <w:b/>
                <w:color w:val="632423" w:themeColor="accent2" w:themeShade="80"/>
                <w:sz w:val="24"/>
              </w:rPr>
              <w:t>2015/16</w:t>
            </w:r>
            <w:r w:rsidR="00126779" w:rsidRPr="00283314">
              <w:rPr>
                <w:rFonts w:asciiTheme="minorHAnsi" w:hAnsiTheme="minorHAnsi" w:cstheme="minorHAnsi"/>
                <w:b/>
                <w:color w:val="632423" w:themeColor="accent2" w:themeShade="80"/>
                <w:sz w:val="24"/>
              </w:rPr>
              <w:t>:</w:t>
            </w:r>
          </w:p>
        </w:tc>
        <w:tc>
          <w:tcPr>
            <w:tcW w:w="2796" w:type="dxa"/>
            <w:shd w:val="clear" w:color="auto" w:fill="F2DBDB" w:themeFill="accent2" w:themeFillTint="33"/>
          </w:tcPr>
          <w:p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126779" w:rsidRPr="00283314" w:rsidTr="00126779">
        <w:trPr>
          <w:trHeight w:val="373"/>
        </w:trPr>
        <w:tc>
          <w:tcPr>
            <w:tcW w:w="5410" w:type="dxa"/>
            <w:vMerge/>
            <w:shd w:val="clear" w:color="auto" w:fill="F2DBDB" w:themeFill="accent2" w:themeFillTint="33"/>
          </w:tcPr>
          <w:p w:rsidR="00126779" w:rsidRPr="00283314" w:rsidRDefault="00126779" w:rsidP="00126779">
            <w:pPr>
              <w:autoSpaceDE w:val="0"/>
              <w:autoSpaceDN w:val="0"/>
              <w:adjustRightInd w:val="0"/>
              <w:jc w:val="center"/>
              <w:rPr>
                <w:rFonts w:asciiTheme="minorHAnsi" w:hAnsiTheme="minorHAnsi" w:cstheme="minorHAnsi"/>
                <w:b/>
                <w:color w:val="632423" w:themeColor="accent2" w:themeShade="80"/>
                <w:sz w:val="24"/>
              </w:rPr>
            </w:pPr>
          </w:p>
        </w:tc>
        <w:tc>
          <w:tcPr>
            <w:tcW w:w="1116" w:type="dxa"/>
            <w:shd w:val="clear" w:color="auto" w:fill="F2DBDB" w:themeFill="accent2" w:themeFillTint="33"/>
          </w:tcPr>
          <w:p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p>
        </w:tc>
        <w:tc>
          <w:tcPr>
            <w:tcW w:w="2796" w:type="dxa"/>
            <w:shd w:val="clear" w:color="auto" w:fill="F2DBDB" w:themeFill="accent2" w:themeFillTint="33"/>
          </w:tcPr>
          <w:p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p>
        </w:tc>
      </w:tr>
    </w:tbl>
    <w:p w:rsidR="00126779" w:rsidRPr="00283314" w:rsidRDefault="00126779" w:rsidP="00126779">
      <w:pPr>
        <w:spacing w:line="276" w:lineRule="auto"/>
        <w:ind w:left="142"/>
        <w:jc w:val="both"/>
        <w:rPr>
          <w:rFonts w:eastAsia="Calibri" w:cs="Times New Roman"/>
          <w:szCs w:val="22"/>
          <w:highlight w:val="yellow"/>
        </w:rPr>
      </w:pPr>
    </w:p>
    <w:p w:rsidR="00126779" w:rsidRPr="00EA48AC" w:rsidRDefault="00126779" w:rsidP="00126779">
      <w:pPr>
        <w:numPr>
          <w:ilvl w:val="0"/>
          <w:numId w:val="6"/>
        </w:numPr>
        <w:spacing w:after="200" w:line="276" w:lineRule="auto"/>
        <w:ind w:hanging="502"/>
        <w:jc w:val="both"/>
        <w:rPr>
          <w:rFonts w:eastAsia="Calibri" w:cs="Times New Roman"/>
          <w:szCs w:val="22"/>
        </w:rPr>
      </w:pPr>
      <w:r w:rsidRPr="00283314">
        <w:rPr>
          <w:rFonts w:eastAsia="Calibri" w:cs="Times New Roman"/>
          <w:szCs w:val="22"/>
        </w:rPr>
        <w:t xml:space="preserve">The Northern Gateway AAP was adopted in July 2015. The Northern Gateway is a key element of the Oxford and Oxfordshire City Deal, which was agreed to support innovation-led economic growth. The City Deal partners and Government have agreed to invest a total of £17.8m in highway infrastructure at the Northern Gateway to enable the development. Improvement works to both </w:t>
      </w:r>
      <w:proofErr w:type="spellStart"/>
      <w:r w:rsidRPr="00283314">
        <w:rPr>
          <w:rFonts w:eastAsia="Calibri" w:cs="Times New Roman"/>
          <w:szCs w:val="22"/>
        </w:rPr>
        <w:t>Wolvercote</w:t>
      </w:r>
      <w:proofErr w:type="spellEnd"/>
      <w:r w:rsidRPr="00283314">
        <w:rPr>
          <w:rFonts w:eastAsia="Calibri" w:cs="Times New Roman"/>
          <w:szCs w:val="22"/>
        </w:rPr>
        <w:t xml:space="preserve"> and </w:t>
      </w:r>
      <w:proofErr w:type="spellStart"/>
      <w:r w:rsidRPr="00283314">
        <w:rPr>
          <w:rFonts w:eastAsia="Calibri" w:cs="Times New Roman"/>
          <w:szCs w:val="22"/>
        </w:rPr>
        <w:t>Cutteslowe</w:t>
      </w:r>
      <w:proofErr w:type="spellEnd"/>
      <w:r w:rsidRPr="00283314">
        <w:rPr>
          <w:rFonts w:eastAsia="Calibri" w:cs="Times New Roman"/>
          <w:szCs w:val="22"/>
        </w:rPr>
        <w:t xml:space="preserve"> roundabouts were completed in September 2016. </w:t>
      </w:r>
      <w:r w:rsidRPr="00283314">
        <w:rPr>
          <w:color w:val="000000"/>
          <w:szCs w:val="22"/>
        </w:rPr>
        <w:t>The next phase will include the provision of a link road between the A44 and A40 and new signalised junctions. This will be bought forward as part of the wider development at the Northern Gateway.</w:t>
      </w:r>
    </w:p>
    <w:p w:rsidR="00042D83" w:rsidRPr="00BD1107" w:rsidRDefault="00042D83" w:rsidP="00042D83">
      <w:pPr>
        <w:pStyle w:val="ListParagraph"/>
        <w:numPr>
          <w:ilvl w:val="0"/>
          <w:numId w:val="6"/>
        </w:numPr>
        <w:tabs>
          <w:tab w:val="left" w:pos="426"/>
        </w:tabs>
        <w:spacing w:after="200" w:line="276" w:lineRule="auto"/>
        <w:contextualSpacing w:val="0"/>
        <w:jc w:val="both"/>
        <w:rPr>
          <w:rFonts w:eastAsia="Calibri"/>
          <w:szCs w:val="22"/>
        </w:rPr>
      </w:pPr>
      <w:r w:rsidRPr="00BD1107">
        <w:rPr>
          <w:szCs w:val="22"/>
        </w:rPr>
        <w:t>Although outside this monitoring period</w:t>
      </w:r>
      <w:r>
        <w:rPr>
          <w:szCs w:val="22"/>
        </w:rPr>
        <w:t xml:space="preserve">, a planning application has come forward for the majority of the Northern Gateway Area Action Plan site. The application, reference 18/02065/OUTFUL, </w:t>
      </w:r>
      <w:r w:rsidRPr="00BD1107">
        <w:rPr>
          <w:szCs w:val="22"/>
        </w:rPr>
        <w:t xml:space="preserve">was received </w:t>
      </w:r>
      <w:r>
        <w:rPr>
          <w:szCs w:val="22"/>
        </w:rPr>
        <w:t xml:space="preserve">and validated on 31 </w:t>
      </w:r>
      <w:r w:rsidRPr="00BD1107">
        <w:rPr>
          <w:szCs w:val="22"/>
        </w:rPr>
        <w:t xml:space="preserve">July 2018 </w:t>
      </w:r>
      <w:r>
        <w:rPr>
          <w:szCs w:val="22"/>
        </w:rPr>
        <w:t xml:space="preserve">and is a hybrid application </w:t>
      </w:r>
      <w:r w:rsidRPr="00BD1107">
        <w:rPr>
          <w:rFonts w:eastAsia="Calibri"/>
          <w:szCs w:val="22"/>
        </w:rPr>
        <w:t>consisting of an outline and full application. The outline application is for up to 87,300sqm</w:t>
      </w:r>
      <w:r>
        <w:rPr>
          <w:rFonts w:eastAsia="Calibri"/>
          <w:szCs w:val="22"/>
        </w:rPr>
        <w:t xml:space="preserve"> of employment space</w:t>
      </w:r>
      <w:r w:rsidRPr="00BD1107">
        <w:rPr>
          <w:rFonts w:eastAsia="Calibri"/>
          <w:szCs w:val="22"/>
        </w:rPr>
        <w:t>, up to 550</w:t>
      </w:r>
      <w:r>
        <w:rPr>
          <w:rFonts w:eastAsia="Calibri"/>
          <w:szCs w:val="22"/>
        </w:rPr>
        <w:t>sq</w:t>
      </w:r>
      <w:r w:rsidRPr="00BD1107">
        <w:rPr>
          <w:rFonts w:eastAsia="Calibri"/>
          <w:szCs w:val="22"/>
        </w:rPr>
        <w:t>m of community space, up to 2,500</w:t>
      </w:r>
      <w:r>
        <w:rPr>
          <w:rFonts w:eastAsia="Calibri"/>
          <w:szCs w:val="22"/>
        </w:rPr>
        <w:t>sq</w:t>
      </w:r>
      <w:r w:rsidRPr="00BD1107">
        <w:rPr>
          <w:rFonts w:eastAsia="Calibri"/>
          <w:szCs w:val="22"/>
        </w:rPr>
        <w:t xml:space="preserve">m of </w:t>
      </w:r>
      <w:r>
        <w:rPr>
          <w:rFonts w:eastAsia="Calibri"/>
          <w:szCs w:val="22"/>
        </w:rPr>
        <w:t xml:space="preserve">Use </w:t>
      </w:r>
      <w:r w:rsidRPr="00BD1107">
        <w:rPr>
          <w:rFonts w:eastAsia="Calibri"/>
          <w:szCs w:val="22"/>
        </w:rPr>
        <w:t xml:space="preserve">Class </w:t>
      </w:r>
      <w:r>
        <w:rPr>
          <w:rFonts w:eastAsia="Calibri"/>
          <w:szCs w:val="22"/>
        </w:rPr>
        <w:t xml:space="preserve">A </w:t>
      </w:r>
      <w:proofErr w:type="spellStart"/>
      <w:r>
        <w:rPr>
          <w:rFonts w:eastAsia="Calibri"/>
          <w:szCs w:val="22"/>
        </w:rPr>
        <w:t>floorspace</w:t>
      </w:r>
      <w:proofErr w:type="spellEnd"/>
      <w:r w:rsidRPr="00BD1107">
        <w:rPr>
          <w:rFonts w:eastAsia="Calibri"/>
          <w:szCs w:val="22"/>
        </w:rPr>
        <w:t>, up to a 180 bedroom hotel and up to 480 residential units as well as associated works, including the provision of a new link road between the A44 and A40</w:t>
      </w:r>
      <w:r>
        <w:rPr>
          <w:rFonts w:eastAsia="Calibri"/>
          <w:szCs w:val="22"/>
        </w:rPr>
        <w:t xml:space="preserve"> and an energy sharing loop</w:t>
      </w:r>
      <w:r w:rsidRPr="00BD1107">
        <w:rPr>
          <w:rFonts w:eastAsia="Calibri"/>
          <w:szCs w:val="22"/>
        </w:rPr>
        <w:t>. The full part of the application is for 15,850</w:t>
      </w:r>
      <w:r>
        <w:rPr>
          <w:rFonts w:eastAsia="Calibri"/>
          <w:szCs w:val="22"/>
        </w:rPr>
        <w:t>sq</w:t>
      </w:r>
      <w:r w:rsidRPr="00BD1107">
        <w:rPr>
          <w:rFonts w:eastAsia="Calibri"/>
          <w:szCs w:val="22"/>
        </w:rPr>
        <w:t xml:space="preserve">m </w:t>
      </w:r>
      <w:r>
        <w:rPr>
          <w:rFonts w:eastAsia="Calibri"/>
          <w:szCs w:val="22"/>
        </w:rPr>
        <w:t>of employment space</w:t>
      </w:r>
      <w:r w:rsidRPr="00BD1107">
        <w:rPr>
          <w:rFonts w:eastAsia="Calibri"/>
          <w:szCs w:val="22"/>
        </w:rPr>
        <w:t xml:space="preserve"> and associated works. </w:t>
      </w:r>
      <w:r>
        <w:rPr>
          <w:rFonts w:eastAsia="Calibri"/>
          <w:szCs w:val="22"/>
        </w:rPr>
        <w:t>The application has been made by Thomas White (Oxford) and the development is being referred to as Oxford North.</w:t>
      </w:r>
    </w:p>
    <w:p w:rsidR="00126779" w:rsidRDefault="00126779" w:rsidP="008A22C6">
      <w:pPr>
        <w:numPr>
          <w:ilvl w:val="0"/>
          <w:numId w:val="6"/>
        </w:numPr>
        <w:spacing w:after="200" w:line="276" w:lineRule="auto"/>
        <w:ind w:hanging="502"/>
        <w:jc w:val="both"/>
        <w:rPr>
          <w:rFonts w:eastAsia="Calibri" w:cs="Times New Roman"/>
          <w:szCs w:val="22"/>
        </w:rPr>
      </w:pPr>
      <w:r w:rsidRPr="00901E0C">
        <w:rPr>
          <w:rFonts w:eastAsia="Calibri" w:cs="Times New Roman"/>
          <w:szCs w:val="22"/>
        </w:rPr>
        <w:t xml:space="preserve">It is too early to monitor development at this site against the AAP’s monitoring framework as a planning application is yet to be approved on this site however progress will continue to be monitored and reported on in the following AMR.  </w:t>
      </w:r>
    </w:p>
    <w:p w:rsidR="00042D83" w:rsidRPr="00901E0C" w:rsidRDefault="00042D83" w:rsidP="00042D83">
      <w:pPr>
        <w:spacing w:after="200" w:line="276" w:lineRule="auto"/>
        <w:jc w:val="both"/>
        <w:rPr>
          <w:rFonts w:eastAsia="Calibri" w:cs="Times New Roman"/>
          <w:szCs w:val="22"/>
        </w:rPr>
      </w:pPr>
    </w:p>
    <w:p w:rsidR="00126779" w:rsidRDefault="00126779" w:rsidP="00F97D78">
      <w:pPr>
        <w:pStyle w:val="Heading1"/>
      </w:pPr>
      <w:bookmarkStart w:id="32" w:name="_Toc529178362"/>
      <w:r>
        <w:lastRenderedPageBreak/>
        <w:t>Cleaner and Greener Oxford</w:t>
      </w:r>
      <w:bookmarkEnd w:id="32"/>
    </w:p>
    <w:tbl>
      <w:tblPr>
        <w:tblStyle w:val="TableGrid1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85"/>
        <w:gridCol w:w="6157"/>
      </w:tblGrid>
      <w:tr w:rsidR="00126779" w:rsidRPr="008F62FB" w:rsidTr="00126779">
        <w:trPr>
          <w:trHeight w:val="98"/>
        </w:trPr>
        <w:tc>
          <w:tcPr>
            <w:tcW w:w="9242" w:type="dxa"/>
            <w:gridSpan w:val="2"/>
            <w:tcBorders>
              <w:bottom w:val="nil"/>
            </w:tcBorders>
            <w:shd w:val="clear" w:color="auto" w:fill="4F6228" w:themeFill="accent3" w:themeFillShade="80"/>
          </w:tcPr>
          <w:p w:rsidR="00126779" w:rsidRDefault="00126779" w:rsidP="00126779">
            <w:pPr>
              <w:ind w:left="993" w:hanging="993"/>
              <w:rPr>
                <w:rFonts w:asciiTheme="minorHAnsi" w:eastAsia="Calibri" w:hAnsiTheme="minorHAnsi" w:cstheme="minorHAnsi"/>
                <w:noProof/>
                <w:color w:val="FFFFFF" w:themeColor="background1"/>
                <w:szCs w:val="22"/>
                <w:lang w:eastAsia="en-GB"/>
              </w:rPr>
            </w:pPr>
          </w:p>
          <w:p w:rsidR="00126779" w:rsidRPr="008F62FB" w:rsidRDefault="00126779" w:rsidP="00126779">
            <w:pPr>
              <w:ind w:left="993" w:hanging="993"/>
              <w:rPr>
                <w:rFonts w:asciiTheme="minorHAnsi" w:eastAsia="Calibri" w:hAnsiTheme="minorHAnsi" w:cstheme="minorHAnsi"/>
                <w:b/>
                <w:noProof/>
                <w:color w:val="FFFFFF" w:themeColor="background1"/>
                <w:szCs w:val="22"/>
                <w:lang w:eastAsia="en-GB"/>
              </w:rPr>
            </w:pPr>
            <w:r w:rsidRPr="008F62FB">
              <w:rPr>
                <w:rFonts w:asciiTheme="minorHAnsi" w:eastAsia="Calibri" w:hAnsiTheme="minorHAnsi" w:cstheme="minorHAnsi"/>
                <w:noProof/>
                <w:color w:val="FFFFFF" w:themeColor="background1"/>
                <w:szCs w:val="22"/>
                <w:lang w:eastAsia="en-GB"/>
              </w:rPr>
              <w:t>Ambition:</w:t>
            </w:r>
            <w:r w:rsidRPr="008F62FB">
              <w:rPr>
                <w:rFonts w:asciiTheme="minorHAnsi" w:eastAsia="Calibri" w:hAnsiTheme="minorHAnsi" w:cstheme="minorHAnsi"/>
                <w:b/>
                <w:noProof/>
                <w:color w:val="FFFFFF" w:themeColor="background1"/>
                <w:szCs w:val="22"/>
                <w:lang w:eastAsia="en-GB"/>
              </w:rPr>
              <w:t xml:space="preserve"> An attractive and clean city that minimises its envior</w:t>
            </w:r>
            <w:r>
              <w:rPr>
                <w:rFonts w:asciiTheme="minorHAnsi" w:eastAsia="Calibri" w:hAnsiTheme="minorHAnsi" w:cstheme="minorHAnsi"/>
                <w:b/>
                <w:noProof/>
                <w:color w:val="FFFFFF" w:themeColor="background1"/>
                <w:szCs w:val="22"/>
                <w:lang w:eastAsia="en-GB"/>
              </w:rPr>
              <w:t>nmental impact by cutting carbo</w:t>
            </w:r>
            <w:r w:rsidRPr="008F62FB">
              <w:rPr>
                <w:rFonts w:asciiTheme="minorHAnsi" w:eastAsia="Calibri" w:hAnsiTheme="minorHAnsi" w:cstheme="minorHAnsi"/>
                <w:b/>
                <w:noProof/>
                <w:color w:val="FFFFFF" w:themeColor="background1"/>
                <w:szCs w:val="22"/>
                <w:lang w:eastAsia="en-GB"/>
              </w:rPr>
              <w:t>n, waste and pollution</w:t>
            </w:r>
          </w:p>
          <w:p w:rsidR="00126779" w:rsidRPr="008F62FB" w:rsidRDefault="00126779" w:rsidP="00126779">
            <w:pPr>
              <w:rPr>
                <w:rFonts w:asciiTheme="minorHAnsi" w:eastAsia="Calibri" w:hAnsiTheme="minorHAnsi" w:cstheme="minorHAnsi"/>
                <w:b/>
                <w:noProof/>
                <w:color w:val="FFFFFF" w:themeColor="background1"/>
                <w:sz w:val="8"/>
                <w:szCs w:val="8"/>
                <w:lang w:eastAsia="en-GB"/>
              </w:rPr>
            </w:pPr>
          </w:p>
          <w:p w:rsidR="00126779" w:rsidRPr="008F62FB" w:rsidRDefault="00126779" w:rsidP="00126779">
            <w:pPr>
              <w:rPr>
                <w:rFonts w:asciiTheme="minorHAnsi" w:eastAsia="Calibri" w:hAnsiTheme="minorHAnsi" w:cstheme="minorHAnsi"/>
                <w:noProof/>
                <w:color w:val="FFFFFF" w:themeColor="background1"/>
                <w:sz w:val="8"/>
                <w:szCs w:val="8"/>
                <w:lang w:eastAsia="en-GB"/>
              </w:rPr>
            </w:pPr>
          </w:p>
        </w:tc>
      </w:tr>
      <w:tr w:rsidR="00126779" w:rsidRPr="008F62FB" w:rsidTr="00126779">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rsidR="00126779" w:rsidRPr="008F62FB" w:rsidRDefault="00126779" w:rsidP="00126779">
            <w:pPr>
              <w:rPr>
                <w:rFonts w:asciiTheme="minorHAnsi" w:eastAsia="Calibri" w:hAnsiTheme="minorHAnsi" w:cstheme="minorHAnsi"/>
                <w:b/>
                <w:noProof/>
                <w:color w:val="000000"/>
                <w:szCs w:val="22"/>
                <w:lang w:eastAsia="en-GB"/>
              </w:rPr>
            </w:pPr>
            <w:r w:rsidRPr="008F62FB">
              <w:rPr>
                <w:rFonts w:asciiTheme="minorHAnsi" w:eastAsia="Calibri" w:hAnsiTheme="minorHAnsi" w:cstheme="minorHAnsi"/>
                <w:b/>
                <w:noProof/>
                <w:color w:val="4F6228" w:themeColor="accent3" w:themeShade="80"/>
                <w:szCs w:val="22"/>
                <w:lang w:eastAsia="en-GB"/>
              </w:rPr>
              <w:t>Envir</w:t>
            </w:r>
            <w:r>
              <w:rPr>
                <w:rFonts w:asciiTheme="minorHAnsi" w:eastAsia="Calibri" w:hAnsiTheme="minorHAnsi" w:cstheme="minorHAnsi"/>
                <w:b/>
                <w:noProof/>
                <w:color w:val="4F6228" w:themeColor="accent3" w:themeShade="80"/>
                <w:szCs w:val="22"/>
                <w:lang w:eastAsia="en-GB"/>
              </w:rPr>
              <w:t>o</w:t>
            </w:r>
            <w:r w:rsidRPr="008F62FB">
              <w:rPr>
                <w:rFonts w:asciiTheme="minorHAnsi" w:eastAsia="Calibri" w:hAnsiTheme="minorHAnsi" w:cstheme="minorHAnsi"/>
                <w:b/>
                <w:noProof/>
                <w:color w:val="4F6228" w:themeColor="accent3" w:themeShade="80"/>
                <w:szCs w:val="22"/>
                <w:lang w:eastAsia="en-GB"/>
              </w:rPr>
              <w:t>nmental Snapshot</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 xml:space="preserve">17.6 square miles / 46 square kilometres </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hAnsiTheme="minorHAnsi" w:cstheme="minorHAnsi"/>
                <w:b/>
                <w:sz w:val="20"/>
              </w:rPr>
            </w:pPr>
            <w:r w:rsidRPr="00933C84">
              <w:rPr>
                <w:rFonts w:asciiTheme="minorHAnsi" w:hAnsiTheme="minorHAnsi" w:cstheme="minorHAnsi"/>
                <w:b/>
                <w:sz w:val="20"/>
              </w:rPr>
              <w:t>Green Belt (% of total area)</w:t>
            </w:r>
            <w:r>
              <w:rPr>
                <w:rFonts w:asciiTheme="minorHAnsi" w:hAnsiTheme="minorHAnsi" w:cstheme="minorHAnsi"/>
                <w:b/>
                <w:sz w:val="20"/>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hAnsiTheme="minorHAnsi" w:cstheme="minorHAnsi"/>
                <w:sz w:val="20"/>
              </w:rPr>
            </w:pPr>
            <w:r w:rsidRPr="00933C84">
              <w:rPr>
                <w:rFonts w:asciiTheme="minorHAnsi" w:hAnsiTheme="minorHAnsi" w:cstheme="minorHAnsi"/>
                <w:sz w:val="20"/>
              </w:rPr>
              <w:t>27% of Oxford’s total area</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hAnsiTheme="minorHAnsi" w:cstheme="minorHAnsi"/>
                <w:b/>
                <w:sz w:val="20"/>
              </w:rPr>
            </w:pPr>
            <w:r w:rsidRPr="00933C84">
              <w:rPr>
                <w:rFonts w:asciiTheme="minorHAnsi" w:hAnsiTheme="minorHAnsi" w:cstheme="minorHAnsi"/>
                <w:b/>
                <w:sz w:val="20"/>
              </w:rPr>
              <w:t>Allotments: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hAnsiTheme="minorHAnsi" w:cstheme="minorHAnsi"/>
                <w:sz w:val="20"/>
              </w:rPr>
            </w:pPr>
            <w:r w:rsidRPr="00933C84">
              <w:rPr>
                <w:rFonts w:asciiTheme="minorHAnsi" w:hAnsiTheme="minorHAnsi" w:cstheme="minorHAnsi"/>
                <w:sz w:val="20"/>
              </w:rPr>
              <w:t>36 allotment sites across the city</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Listed Buildings: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More than 1,600 listed buildings</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Conservation Areas</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18 conservation areas</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Parks with Green Flag status</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sz w:val="20"/>
              </w:rPr>
              <w:t>Five parks (</w:t>
            </w:r>
            <w:proofErr w:type="spellStart"/>
            <w:r w:rsidRPr="00933C84">
              <w:rPr>
                <w:rFonts w:asciiTheme="minorHAnsi" w:hAnsiTheme="minorHAnsi" w:cstheme="minorHAnsi"/>
                <w:color w:val="000000"/>
                <w:sz w:val="20"/>
              </w:rPr>
              <w:t>Cutteslowe</w:t>
            </w:r>
            <w:proofErr w:type="spellEnd"/>
            <w:r w:rsidRPr="00933C84">
              <w:rPr>
                <w:rFonts w:asciiTheme="minorHAnsi" w:hAnsiTheme="minorHAnsi" w:cstheme="minorHAnsi"/>
                <w:color w:val="000000"/>
                <w:sz w:val="20"/>
              </w:rPr>
              <w:t xml:space="preserve"> &amp; </w:t>
            </w:r>
            <w:proofErr w:type="spellStart"/>
            <w:r w:rsidRPr="00933C84">
              <w:rPr>
                <w:rFonts w:asciiTheme="minorHAnsi" w:hAnsiTheme="minorHAnsi" w:cstheme="minorHAnsi"/>
                <w:color w:val="000000"/>
                <w:sz w:val="20"/>
              </w:rPr>
              <w:t>Sunnymead</w:t>
            </w:r>
            <w:proofErr w:type="spellEnd"/>
            <w:r w:rsidRPr="00933C84">
              <w:rPr>
                <w:rFonts w:asciiTheme="minorHAnsi" w:hAnsiTheme="minorHAnsi" w:cstheme="minorHAnsi"/>
                <w:color w:val="000000"/>
                <w:sz w:val="20"/>
              </w:rPr>
              <w:t xml:space="preserve"> Park, Blackbird Leys Park, </w:t>
            </w:r>
            <w:proofErr w:type="spellStart"/>
            <w:r w:rsidRPr="00933C84">
              <w:rPr>
                <w:rFonts w:asciiTheme="minorHAnsi" w:hAnsiTheme="minorHAnsi" w:cstheme="minorHAnsi"/>
                <w:color w:val="000000"/>
                <w:sz w:val="20"/>
              </w:rPr>
              <w:t>Hinksey</w:t>
            </w:r>
            <w:proofErr w:type="spellEnd"/>
            <w:r w:rsidRPr="00933C84">
              <w:rPr>
                <w:rFonts w:asciiTheme="minorHAnsi" w:hAnsiTheme="minorHAnsi" w:cstheme="minorHAnsi"/>
                <w:color w:val="000000"/>
                <w:sz w:val="20"/>
              </w:rPr>
              <w:t xml:space="preserve"> Park, Florence Park</w:t>
            </w:r>
            <w:r w:rsidRPr="00933C84">
              <w:rPr>
                <w:rFonts w:asciiTheme="minorHAnsi" w:eastAsia="Calibri" w:hAnsiTheme="minorHAnsi" w:cstheme="minorHAnsi"/>
                <w:sz w:val="20"/>
                <w:szCs w:val="22"/>
              </w:rPr>
              <w:t xml:space="preserve"> a</w:t>
            </w:r>
            <w:r w:rsidRPr="00933C84">
              <w:rPr>
                <w:rFonts w:asciiTheme="minorHAnsi" w:hAnsiTheme="minorHAnsi" w:cstheme="minorHAnsi"/>
                <w:color w:val="000000"/>
                <w:sz w:val="20"/>
              </w:rPr>
              <w:t xml:space="preserve">nd Bury </w:t>
            </w:r>
            <w:proofErr w:type="spellStart"/>
            <w:r w:rsidRPr="00933C84">
              <w:rPr>
                <w:rFonts w:asciiTheme="minorHAnsi" w:hAnsiTheme="minorHAnsi" w:cstheme="minorHAnsi"/>
                <w:color w:val="000000"/>
                <w:sz w:val="20"/>
              </w:rPr>
              <w:t>Knowle</w:t>
            </w:r>
            <w:proofErr w:type="spellEnd"/>
            <w:r w:rsidRPr="00933C84">
              <w:rPr>
                <w:rFonts w:asciiTheme="minorHAnsi" w:hAnsiTheme="minorHAnsi" w:cstheme="minorHAnsi"/>
                <w:color w:val="000000"/>
                <w:sz w:val="20"/>
              </w:rPr>
              <w:t xml:space="preserve"> Park)</w:t>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 xml:space="preserve">Carbon emissions per capita: </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351EB" w:rsidP="00126779">
            <w:pPr>
              <w:rPr>
                <w:rFonts w:asciiTheme="minorHAnsi" w:eastAsia="Calibri" w:hAnsiTheme="minorHAnsi" w:cstheme="minorHAnsi"/>
                <w:noProof/>
                <w:color w:val="000000"/>
                <w:sz w:val="20"/>
                <w:szCs w:val="22"/>
                <w:vertAlign w:val="superscript"/>
                <w:lang w:eastAsia="en-GB"/>
              </w:rPr>
            </w:pPr>
            <w:r>
              <w:rPr>
                <w:rFonts w:asciiTheme="minorHAnsi" w:eastAsia="Calibri" w:hAnsiTheme="minorHAnsi" w:cstheme="minorHAnsi"/>
                <w:noProof/>
                <w:color w:val="000000"/>
                <w:sz w:val="20"/>
                <w:szCs w:val="22"/>
                <w:lang w:eastAsia="en-GB"/>
              </w:rPr>
              <w:t>4.4</w:t>
            </w:r>
            <w:r w:rsidR="00126779" w:rsidRPr="00933C84">
              <w:rPr>
                <w:rFonts w:asciiTheme="minorHAnsi" w:eastAsia="Calibri" w:hAnsiTheme="minorHAnsi" w:cstheme="minorHAnsi"/>
                <w:noProof/>
                <w:color w:val="000000"/>
                <w:sz w:val="20"/>
                <w:szCs w:val="22"/>
                <w:lang w:eastAsia="en-GB"/>
              </w:rPr>
              <w:t xml:space="preserve"> tonnes per resident</w:t>
            </w:r>
          </w:p>
          <w:p w:rsidR="00126779" w:rsidRPr="00933C84" w:rsidRDefault="00126779" w:rsidP="00126779">
            <w:pPr>
              <w:rPr>
                <w:rFonts w:asciiTheme="minorHAnsi" w:eastAsia="Calibri" w:hAnsiTheme="minorHAnsi" w:cstheme="minorHAnsi"/>
                <w:noProof/>
                <w:color w:val="000000"/>
                <w:sz w:val="20"/>
                <w:szCs w:val="22"/>
                <w:lang w:eastAsia="en-GB"/>
              </w:rPr>
            </w:pPr>
            <w:r>
              <w:rPr>
                <w:rFonts w:asciiTheme="minorHAnsi" w:eastAsia="Calibri" w:hAnsiTheme="minorHAnsi" w:cstheme="minorHAnsi"/>
                <w:noProof/>
                <w:color w:val="000000"/>
                <w:sz w:val="20"/>
                <w:szCs w:val="22"/>
                <w:lang w:eastAsia="en-GB"/>
              </w:rPr>
              <w:t>The target is to reduce Oxford</w:t>
            </w:r>
            <w:r w:rsidRPr="00933C84">
              <w:rPr>
                <w:rFonts w:asciiTheme="minorHAnsi" w:eastAsia="Calibri" w:hAnsiTheme="minorHAnsi" w:cstheme="minorHAnsi"/>
                <w:noProof/>
                <w:color w:val="000000"/>
                <w:sz w:val="20"/>
                <w:szCs w:val="22"/>
                <w:lang w:eastAsia="en-GB"/>
              </w:rPr>
              <w:t>’s emissions by 40% by 2020, compared to a 2005 baseline.</w:t>
            </w:r>
            <w:r w:rsidRPr="00933C84">
              <w:rPr>
                <w:rFonts w:asciiTheme="minorHAnsi" w:eastAsia="Calibri" w:hAnsiTheme="minorHAnsi" w:cstheme="minorHAnsi"/>
                <w:noProof/>
                <w:color w:val="000000"/>
                <w:sz w:val="20"/>
                <w:szCs w:val="22"/>
                <w:vertAlign w:val="superscript"/>
                <w:lang w:eastAsia="en-GB"/>
              </w:rPr>
              <w:footnoteReference w:id="44"/>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894FF9" w:rsidRDefault="00126779" w:rsidP="00126779">
            <w:pPr>
              <w:rPr>
                <w:rFonts w:asciiTheme="minorHAnsi" w:eastAsia="Calibri" w:hAnsiTheme="minorHAnsi" w:cstheme="minorHAnsi"/>
                <w:b/>
                <w:noProof/>
                <w:color w:val="000000"/>
                <w:sz w:val="20"/>
                <w:szCs w:val="22"/>
                <w:lang w:eastAsia="en-GB"/>
              </w:rPr>
            </w:pPr>
            <w:r>
              <w:rPr>
                <w:rFonts w:asciiTheme="minorHAnsi" w:eastAsia="Calibri" w:hAnsiTheme="minorHAnsi" w:cstheme="minorHAnsi"/>
                <w:b/>
                <w:noProof/>
                <w:color w:val="000000"/>
                <w:sz w:val="20"/>
                <w:szCs w:val="22"/>
                <w:lang w:eastAsia="en-GB"/>
              </w:rPr>
              <w:t>C</w:t>
            </w:r>
            <w:r w:rsidRPr="00933C84">
              <w:rPr>
                <w:rFonts w:asciiTheme="minorHAnsi" w:eastAsia="Calibri" w:hAnsiTheme="minorHAnsi" w:cstheme="minorHAnsi"/>
                <w:b/>
                <w:noProof/>
                <w:color w:val="000000"/>
                <w:sz w:val="20"/>
                <w:szCs w:val="22"/>
                <w:lang w:eastAsia="en-GB"/>
              </w:rPr>
              <w:t>ycling infrastructure per Km</w:t>
            </w:r>
            <w:r w:rsidRPr="00933C84">
              <w:rPr>
                <w:rFonts w:asciiTheme="minorHAnsi" w:eastAsia="Calibri" w:hAnsiTheme="minorHAnsi" w:cstheme="minorHAnsi"/>
                <w:b/>
                <w:noProof/>
                <w:color w:val="000000"/>
                <w:sz w:val="20"/>
                <w:szCs w:val="22"/>
                <w:vertAlign w:val="superscript"/>
                <w:lang w:eastAsia="en-GB"/>
              </w:rPr>
              <w:t>2</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Per 1km</w:t>
            </w:r>
            <w:r w:rsidRPr="00933C84">
              <w:rPr>
                <w:rFonts w:asciiTheme="minorHAnsi" w:eastAsia="Calibri" w:hAnsiTheme="minorHAnsi" w:cstheme="minorHAnsi"/>
                <w:noProof/>
                <w:color w:val="000000"/>
                <w:sz w:val="20"/>
                <w:szCs w:val="22"/>
                <w:vertAlign w:val="superscript"/>
                <w:lang w:eastAsia="en-GB"/>
              </w:rPr>
              <w:t xml:space="preserve">2 </w:t>
            </w:r>
            <w:r>
              <w:rPr>
                <w:rFonts w:asciiTheme="minorHAnsi" w:eastAsia="Calibri" w:hAnsiTheme="minorHAnsi" w:cstheme="minorHAnsi"/>
                <w:noProof/>
                <w:color w:val="000000"/>
                <w:sz w:val="20"/>
                <w:szCs w:val="22"/>
                <w:lang w:eastAsia="en-GB"/>
              </w:rPr>
              <w:t>there is an average of 0.49</w:t>
            </w:r>
            <w:r w:rsidRPr="00933C84">
              <w:rPr>
                <w:rFonts w:asciiTheme="minorHAnsi" w:eastAsia="Calibri" w:hAnsiTheme="minorHAnsi" w:cstheme="minorHAnsi"/>
                <w:noProof/>
                <w:color w:val="000000"/>
                <w:sz w:val="20"/>
                <w:szCs w:val="22"/>
                <w:lang w:eastAsia="en-GB"/>
              </w:rPr>
              <w:t>km of cycle infrastructure across Oxford.</w:t>
            </w:r>
            <w:r w:rsidRPr="00933C84">
              <w:rPr>
                <w:rFonts w:asciiTheme="minorHAnsi" w:eastAsia="Calibri" w:hAnsiTheme="minorHAnsi" w:cstheme="minorHAnsi"/>
                <w:noProof/>
                <w:color w:val="000000"/>
                <w:sz w:val="20"/>
                <w:szCs w:val="22"/>
                <w:vertAlign w:val="superscript"/>
                <w:lang w:eastAsia="en-GB"/>
              </w:rPr>
              <w:footnoteReference w:id="45"/>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Land area covered by</w:t>
            </w:r>
          </w:p>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grassland and forests</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32% of the land within Oxford City Council’s boundary is grassland or woodland.</w:t>
            </w:r>
            <w:r w:rsidRPr="00933C84">
              <w:rPr>
                <w:rFonts w:asciiTheme="minorHAnsi" w:eastAsia="Calibri" w:hAnsiTheme="minorHAnsi" w:cstheme="minorHAnsi"/>
                <w:noProof/>
                <w:color w:val="000000"/>
                <w:sz w:val="20"/>
                <w:szCs w:val="22"/>
                <w:vertAlign w:val="superscript"/>
                <w:lang w:eastAsia="en-GB"/>
              </w:rPr>
              <w:footnoteReference w:id="46"/>
            </w:r>
          </w:p>
        </w:tc>
      </w:tr>
      <w:tr w:rsidR="00126779" w:rsidRPr="00933C84"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Oxford Household Recycling Rate</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126779" w:rsidRPr="00933C84" w:rsidRDefault="00126779" w:rsidP="00126779">
            <w:pPr>
              <w:rPr>
                <w:rFonts w:asciiTheme="minorHAnsi" w:eastAsia="Calibri" w:hAnsiTheme="minorHAnsi" w:cstheme="minorHAnsi"/>
                <w:noProof/>
                <w:color w:val="000000"/>
                <w:sz w:val="20"/>
                <w:szCs w:val="22"/>
                <w:lang w:eastAsia="en-GB"/>
              </w:rPr>
            </w:pPr>
            <w:r>
              <w:rPr>
                <w:rFonts w:asciiTheme="minorHAnsi" w:eastAsia="Calibri" w:hAnsiTheme="minorHAnsi" w:cstheme="minorHAnsi"/>
                <w:noProof/>
                <w:color w:val="000000"/>
                <w:sz w:val="20"/>
                <w:szCs w:val="22"/>
                <w:lang w:eastAsia="en-GB"/>
              </w:rPr>
              <w:t xml:space="preserve">Residual waste: </w:t>
            </w:r>
            <w:r w:rsidR="006B7E00" w:rsidRPr="006B7E00">
              <w:rPr>
                <w:rFonts w:asciiTheme="minorHAnsi" w:eastAsia="Calibri" w:hAnsiTheme="minorHAnsi" w:cstheme="minorHAnsi"/>
                <w:noProof/>
                <w:color w:val="000000"/>
                <w:sz w:val="20"/>
                <w:szCs w:val="22"/>
                <w:lang w:eastAsia="en-GB"/>
              </w:rPr>
              <w:t>366.34kg per household in 2017/18</w:t>
            </w:r>
          </w:p>
          <w:p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Household was</w:t>
            </w:r>
            <w:r>
              <w:rPr>
                <w:rFonts w:asciiTheme="minorHAnsi" w:eastAsia="Calibri" w:hAnsiTheme="minorHAnsi" w:cstheme="minorHAnsi"/>
                <w:noProof/>
                <w:color w:val="000000"/>
                <w:sz w:val="20"/>
                <w:szCs w:val="22"/>
                <w:lang w:eastAsia="en-GB"/>
              </w:rPr>
              <w:t>te recycled and composted: 50.81</w:t>
            </w:r>
            <w:r w:rsidRPr="00933C84">
              <w:rPr>
                <w:rFonts w:asciiTheme="minorHAnsi" w:eastAsia="Calibri" w:hAnsiTheme="minorHAnsi" w:cstheme="minorHAnsi"/>
                <w:noProof/>
                <w:color w:val="000000"/>
                <w:sz w:val="20"/>
                <w:szCs w:val="22"/>
                <w:lang w:eastAsia="en-GB"/>
              </w:rPr>
              <w:t>%</w:t>
            </w:r>
            <w:r>
              <w:rPr>
                <w:rFonts w:asciiTheme="minorHAnsi" w:eastAsia="Calibri" w:hAnsiTheme="minorHAnsi" w:cstheme="minorHAnsi"/>
                <w:noProof/>
                <w:color w:val="000000"/>
                <w:sz w:val="20"/>
                <w:szCs w:val="22"/>
                <w:lang w:eastAsia="en-GB"/>
              </w:rPr>
              <w:t xml:space="preserve"> in 2017/18</w:t>
            </w:r>
          </w:p>
        </w:tc>
      </w:tr>
      <w:tr w:rsidR="00126779" w:rsidRPr="008F62FB" w:rsidTr="00126779">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rsidR="00126779" w:rsidRPr="008F62FB" w:rsidRDefault="00126779" w:rsidP="00126779">
            <w:pPr>
              <w:rPr>
                <w:rFonts w:asciiTheme="minorHAnsi" w:eastAsia="Calibri" w:hAnsiTheme="minorHAnsi" w:cstheme="minorHAnsi"/>
                <w:noProof/>
                <w:color w:val="000000"/>
                <w:szCs w:val="22"/>
                <w:lang w:eastAsia="en-GB"/>
              </w:rPr>
            </w:pPr>
            <w:r w:rsidRPr="008F62FB">
              <w:rPr>
                <w:rFonts w:asciiTheme="minorHAnsi" w:eastAsia="Calibri" w:hAnsiTheme="minorHAnsi" w:cstheme="minorHAnsi"/>
                <w:b/>
                <w:noProof/>
                <w:color w:val="4F6228" w:themeColor="accent3" w:themeShade="80"/>
                <w:szCs w:val="22"/>
                <w:lang w:eastAsia="en-GB"/>
              </w:rPr>
              <w:t>Spatial distribution of parks and open spaces in Oxford:</w:t>
            </w:r>
            <w:r w:rsidRPr="008F62FB">
              <w:rPr>
                <w:rFonts w:asciiTheme="minorHAnsi" w:eastAsia="Calibri" w:hAnsiTheme="minorHAnsi" w:cstheme="minorHAnsi"/>
                <w:noProof/>
                <w:color w:val="4F6228" w:themeColor="accent3" w:themeShade="80"/>
                <w:szCs w:val="22"/>
                <w:vertAlign w:val="superscript"/>
                <w:lang w:eastAsia="en-GB"/>
              </w:rPr>
              <w:footnoteReference w:id="47"/>
            </w:r>
          </w:p>
        </w:tc>
      </w:tr>
      <w:tr w:rsidR="00126779" w:rsidRPr="008F62FB" w:rsidTr="00126779">
        <w:tc>
          <w:tcPr>
            <w:tcW w:w="9242" w:type="dxa"/>
            <w:gridSpan w:val="2"/>
            <w:tcBorders>
              <w:top w:val="single" w:sz="4" w:space="0" w:color="D9D9D9" w:themeColor="background1" w:themeShade="D9"/>
              <w:bottom w:val="single" w:sz="4" w:space="0" w:color="D9D9D9" w:themeColor="background1" w:themeShade="D9"/>
            </w:tcBorders>
            <w:shd w:val="clear" w:color="auto" w:fill="EAF1DD" w:themeFill="accent3" w:themeFillTint="33"/>
          </w:tcPr>
          <w:p w:rsidR="00126779" w:rsidRPr="008F62FB" w:rsidRDefault="00126779" w:rsidP="00126779">
            <w:pPr>
              <w:jc w:val="center"/>
              <w:rPr>
                <w:rFonts w:asciiTheme="minorHAnsi" w:eastAsia="Calibri" w:hAnsiTheme="minorHAnsi" w:cstheme="minorHAnsi"/>
                <w:b/>
                <w:noProof/>
                <w:color w:val="4F6228" w:themeColor="accent3" w:themeShade="80"/>
                <w:szCs w:val="22"/>
                <w:lang w:eastAsia="en-GB"/>
              </w:rPr>
            </w:pPr>
            <w:r>
              <w:rPr>
                <w:noProof/>
                <w:lang w:eastAsia="en-GB"/>
              </w:rPr>
              <mc:AlternateContent>
                <mc:Choice Requires="wps">
                  <w:drawing>
                    <wp:anchor distT="0" distB="0" distL="114300" distR="114300" simplePos="0" relativeHeight="251694080" behindDoc="0" locked="0" layoutInCell="1" allowOverlap="1" wp14:anchorId="3DC134BE" wp14:editId="38112BEC">
                      <wp:simplePos x="0" y="0"/>
                      <wp:positionH relativeFrom="column">
                        <wp:posOffset>897571</wp:posOffset>
                      </wp:positionH>
                      <wp:positionV relativeFrom="paragraph">
                        <wp:posOffset>3529015</wp:posOffset>
                      </wp:positionV>
                      <wp:extent cx="600250" cy="347244"/>
                      <wp:effectExtent l="0" t="0" r="9525" b="0"/>
                      <wp:wrapNone/>
                      <wp:docPr id="271" name="Rectangle 271"/>
                      <wp:cNvGraphicFramePr/>
                      <a:graphic xmlns:a="http://schemas.openxmlformats.org/drawingml/2006/main">
                        <a:graphicData uri="http://schemas.microsoft.com/office/word/2010/wordprocessingShape">
                          <wps:wsp>
                            <wps:cNvSpPr/>
                            <wps:spPr>
                              <a:xfrm>
                                <a:off x="0" y="0"/>
                                <a:ext cx="600250" cy="347244"/>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74E225" id="Rectangle 271" o:spid="_x0000_s1026" style="position:absolute;margin-left:70.65pt;margin-top:277.9pt;width:47.25pt;height:2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" fillcolor="#c2d69b [1942]" stroked="f" strokeweight="2pt"/>
                  </w:pict>
                </mc:Fallback>
              </mc:AlternateContent>
            </w:r>
            <w:r w:rsidRPr="008F62FB">
              <w:rPr>
                <w:noProof/>
                <w:lang w:eastAsia="en-GB"/>
              </w:rPr>
              <w:drawing>
                <wp:inline distT="0" distB="0" distL="0" distR="0" wp14:anchorId="05CEE0D8" wp14:editId="6C94655B">
                  <wp:extent cx="3933825" cy="384830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33825" cy="3848309"/>
                          </a:xfrm>
                          <a:prstGeom prst="rect">
                            <a:avLst/>
                          </a:prstGeom>
                        </pic:spPr>
                      </pic:pic>
                    </a:graphicData>
                  </a:graphic>
                </wp:inline>
              </w:drawing>
            </w:r>
          </w:p>
        </w:tc>
      </w:tr>
    </w:tbl>
    <w:p w:rsidR="00126779" w:rsidRDefault="00126779" w:rsidP="00126779">
      <w:pPr>
        <w:rPr>
          <w:rFonts w:asciiTheme="minorHAnsi" w:hAnsiTheme="minorHAnsi"/>
          <w:b/>
        </w:rPr>
      </w:pPr>
    </w:p>
    <w:p w:rsidR="00126779" w:rsidRDefault="00126779" w:rsidP="00126779">
      <w:pPr>
        <w:rPr>
          <w:rFonts w:asciiTheme="minorHAnsi" w:hAnsiTheme="minorHAnsi"/>
          <w:b/>
        </w:rPr>
      </w:pPr>
    </w:p>
    <w:bookmarkStart w:id="33" w:name="_Toc529178363"/>
    <w:p w:rsidR="00126779" w:rsidRDefault="007C2290" w:rsidP="00F97D78">
      <w:pPr>
        <w:pStyle w:val="Heading2"/>
      </w:pPr>
      <w:r w:rsidRPr="00351DD4">
        <w:rPr>
          <w:rFonts w:eastAsia="Calibri" w:cs="Calibri"/>
          <w:noProof/>
          <w:color w:val="244061" w:themeColor="accent1" w:themeShade="80"/>
          <w:sz w:val="8"/>
          <w:szCs w:val="22"/>
        </w:rPr>
        <w:lastRenderedPageBreak/>
        <mc:AlternateContent>
          <mc:Choice Requires="wps">
            <w:drawing>
              <wp:anchor distT="0" distB="0" distL="114300" distR="114300" simplePos="0" relativeHeight="251698176" behindDoc="1" locked="0" layoutInCell="1" allowOverlap="1" wp14:anchorId="54E5ADCF" wp14:editId="0A49C83A">
                <wp:simplePos x="0" y="0"/>
                <wp:positionH relativeFrom="column">
                  <wp:posOffset>-15766</wp:posOffset>
                </wp:positionH>
                <wp:positionV relativeFrom="paragraph">
                  <wp:posOffset>0</wp:posOffset>
                </wp:positionV>
                <wp:extent cx="5885180" cy="1576552"/>
                <wp:effectExtent l="0" t="0" r="1270" b="5080"/>
                <wp:wrapNone/>
                <wp:docPr id="53" name="Rectangle 53"/>
                <wp:cNvGraphicFramePr/>
                <a:graphic xmlns:a="http://schemas.openxmlformats.org/drawingml/2006/main">
                  <a:graphicData uri="http://schemas.microsoft.com/office/word/2010/wordprocessingShape">
                    <wps:wsp>
                      <wps:cNvSpPr/>
                      <wps:spPr>
                        <a:xfrm>
                          <a:off x="0" y="0"/>
                          <a:ext cx="5885180" cy="1576552"/>
                        </a:xfrm>
                        <a:prstGeom prst="rect">
                          <a:avLst/>
                        </a:prstGeom>
                        <a:solidFill>
                          <a:schemeClr val="accent3">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54D4CA" id="Rectangle 53" o:spid="_x0000_s1026" style="position:absolute;margin-left:-1.25pt;margin-top:0;width:463.4pt;height:12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" fillcolor="#c2d69b [1942]" stroked="f" strokeweight="2pt"/>
            </w:pict>
          </mc:Fallback>
        </mc:AlternateContent>
      </w:r>
      <w:r w:rsidR="00126779">
        <w:t>I</w:t>
      </w:r>
      <w:r w:rsidR="00F97D78">
        <w:t>NDICATOR 25: CHANGES IN AREAS OF BIODIVERSITY IMPORTANCE</w:t>
      </w:r>
      <w:bookmarkEnd w:id="33"/>
    </w:p>
    <w:p w:rsidR="00126779" w:rsidRDefault="00126779" w:rsidP="00126779">
      <w:pPr>
        <w:pStyle w:val="Default"/>
        <w:rPr>
          <w:sz w:val="20"/>
          <w:szCs w:val="20"/>
        </w:rPr>
      </w:pPr>
      <w:r>
        <w:rPr>
          <w:b/>
          <w:bCs/>
          <w:sz w:val="22"/>
          <w:szCs w:val="22"/>
        </w:rPr>
        <w:t xml:space="preserve">Target: No net reduction in areas designated for their intrinsic environmental value i.e. SAC, SSSI, RIGS and locally designated sites </w:t>
      </w:r>
      <w:r>
        <w:rPr>
          <w:sz w:val="20"/>
          <w:szCs w:val="20"/>
        </w:rPr>
        <w:t>(Oxford Core Strategy Policy CS12)</w:t>
      </w:r>
    </w:p>
    <w:p w:rsidR="00126779" w:rsidRDefault="00126779" w:rsidP="00126779">
      <w:pPr>
        <w:pStyle w:val="Default"/>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rsidTr="00292336">
        <w:trPr>
          <w:trHeight w:val="218"/>
        </w:trPr>
        <w:tc>
          <w:tcPr>
            <w:tcW w:w="5420" w:type="dxa"/>
          </w:tcPr>
          <w:p w:rsidR="00292336" w:rsidRPr="00283314" w:rsidRDefault="00292336" w:rsidP="00292336">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w:t>
            </w:r>
            <w:r w:rsidRPr="00283314">
              <w:rPr>
                <w:rFonts w:cs="Calibri"/>
                <w:b/>
                <w:color w:val="632423" w:themeColor="accent2" w:themeShade="80"/>
                <w:szCs w:val="22"/>
              </w:rPr>
              <w:t>/1</w:t>
            </w:r>
            <w:r>
              <w:rPr>
                <w:rFonts w:cs="Calibri"/>
                <w:b/>
                <w:color w:val="632423" w:themeColor="accent2" w:themeShade="80"/>
                <w:szCs w:val="22"/>
              </w:rPr>
              <w:t>8</w:t>
            </w:r>
            <w:r w:rsidRPr="00283314">
              <w:rPr>
                <w:rFonts w:cs="Calibri"/>
                <w:b/>
                <w:color w:val="632423" w:themeColor="accent2" w:themeShade="80"/>
                <w:szCs w:val="22"/>
              </w:rPr>
              <w:t>:</w:t>
            </w:r>
          </w:p>
        </w:tc>
        <w:tc>
          <w:tcPr>
            <w:tcW w:w="3714" w:type="dxa"/>
            <w:gridSpan w:val="2"/>
          </w:tcPr>
          <w:p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rsidTr="00292336">
        <w:tc>
          <w:tcPr>
            <w:tcW w:w="5420" w:type="dxa"/>
            <w:vMerge w:val="restart"/>
          </w:tcPr>
          <w:p w:rsidR="00292336" w:rsidRPr="009B0669" w:rsidRDefault="00292336" w:rsidP="00292336">
            <w:pPr>
              <w:autoSpaceDE w:val="0"/>
              <w:autoSpaceDN w:val="0"/>
              <w:adjustRightInd w:val="0"/>
              <w:jc w:val="center"/>
              <w:rPr>
                <w:rFonts w:cs="Calibri"/>
                <w:b/>
                <w:color w:val="632423" w:themeColor="accent2" w:themeShade="80"/>
                <w:sz w:val="6"/>
                <w:szCs w:val="6"/>
              </w:rPr>
            </w:pPr>
          </w:p>
          <w:p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0679E344" wp14:editId="0D105D48">
                  <wp:extent cx="1388853" cy="418201"/>
                  <wp:effectExtent l="0" t="0" r="1905" b="1270"/>
                  <wp:docPr id="59" name="Picture 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Cs w:val="22"/>
              </w:rPr>
            </w:pPr>
          </w:p>
          <w:p w:rsidR="00292336" w:rsidRPr="001A698B" w:rsidRDefault="00292336" w:rsidP="00292336">
            <w:pPr>
              <w:autoSpaceDE w:val="0"/>
              <w:autoSpaceDN w:val="0"/>
              <w:adjustRightInd w:val="0"/>
              <w:jc w:val="center"/>
              <w:rPr>
                <w:rFonts w:cs="Calibri"/>
                <w:b/>
                <w:color w:val="632423" w:themeColor="accent2" w:themeShade="80"/>
                <w:sz w:val="14"/>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47D741C3" wp14:editId="2802AEEE">
                  <wp:extent cx="819150" cy="256182"/>
                  <wp:effectExtent l="0" t="0" r="0" b="0"/>
                  <wp:docPr id="60" name="Picture 6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rsidTr="00292336">
        <w:tc>
          <w:tcPr>
            <w:tcW w:w="5420" w:type="dxa"/>
            <w:vMerge/>
          </w:tcPr>
          <w:p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09FDB92E" wp14:editId="65B5CF95">
                  <wp:extent cx="819150" cy="256182"/>
                  <wp:effectExtent l="0" t="0" r="0" b="0"/>
                  <wp:docPr id="61" name="Picture 6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Default="00126779" w:rsidP="00126779">
      <w:pPr>
        <w:pStyle w:val="Default"/>
      </w:pPr>
    </w:p>
    <w:p w:rsidR="00126779" w:rsidRPr="003976C2" w:rsidRDefault="00126779" w:rsidP="00126779">
      <w:pPr>
        <w:pStyle w:val="Default"/>
        <w:spacing w:after="256"/>
        <w:rPr>
          <w:color w:val="auto"/>
          <w:sz w:val="22"/>
          <w:szCs w:val="22"/>
        </w:rPr>
      </w:pPr>
      <w:r w:rsidRPr="003976C2">
        <w:rPr>
          <w:color w:val="auto"/>
          <w:sz w:val="22"/>
          <w:szCs w:val="22"/>
        </w:rPr>
        <w:t>5.1</w:t>
      </w:r>
      <w:r w:rsidRPr="003976C2">
        <w:rPr>
          <w:color w:val="auto"/>
          <w:sz w:val="22"/>
          <w:szCs w:val="22"/>
        </w:rPr>
        <w:tab/>
        <w:t xml:space="preserve">Oxford has a diverse range of species and habitats and this is another part of what makes Oxford such a special place. It is important that Oxford’s biodiversity is maintained as this is central to natural processes such as the maintenance of air, soil and water quality, and the regulation of climate and flooding. Biodiversity and good quality natural environments also contribute to health and wellbeing and are a key part of Oxford’s character. </w:t>
      </w:r>
    </w:p>
    <w:p w:rsidR="00126779" w:rsidRPr="00ED615C" w:rsidRDefault="00126779" w:rsidP="00126779">
      <w:pPr>
        <w:pStyle w:val="Default"/>
        <w:rPr>
          <w:color w:val="auto"/>
        </w:rPr>
      </w:pPr>
      <w:r w:rsidRPr="003976C2">
        <w:rPr>
          <w:color w:val="auto"/>
          <w:sz w:val="22"/>
          <w:szCs w:val="22"/>
        </w:rPr>
        <w:t xml:space="preserve">5.2 </w:t>
      </w:r>
      <w:r w:rsidRPr="003976C2">
        <w:rPr>
          <w:color w:val="auto"/>
          <w:sz w:val="22"/>
          <w:szCs w:val="22"/>
        </w:rPr>
        <w:tab/>
        <w:t xml:space="preserve">There are a number of sites in Oxford that are protected for their biodiversity and geological importance. This includes European designations (the Oxford Meadows Special Area of Conversation), national designations (Sites of Special Scientific Interest), and local level designations </w:t>
      </w:r>
      <w:r w:rsidRPr="00ED615C">
        <w:rPr>
          <w:color w:val="auto"/>
          <w:sz w:val="22"/>
          <w:szCs w:val="22"/>
        </w:rPr>
        <w:t xml:space="preserve">(local wildlife sites, local nature reserves and sites of local importance to nature conservation).   </w:t>
      </w:r>
    </w:p>
    <w:p w:rsidR="00126779" w:rsidRPr="00825638" w:rsidRDefault="00F47862" w:rsidP="00126779">
      <w:pPr>
        <w:autoSpaceDE w:val="0"/>
        <w:autoSpaceDN w:val="0"/>
        <w:adjustRightInd w:val="0"/>
        <w:rPr>
          <w:rFonts w:cs="Calibri"/>
          <w:szCs w:val="22"/>
        </w:rPr>
      </w:pPr>
      <w:r w:rsidRPr="00ED615C">
        <w:rPr>
          <w:rFonts w:cs="Calibri"/>
          <w:szCs w:val="22"/>
        </w:rPr>
        <w:t>Table 22</w:t>
      </w:r>
      <w:r w:rsidR="00126779" w:rsidRPr="00ED615C">
        <w:rPr>
          <w:rFonts w:cs="Calibri"/>
          <w:szCs w:val="22"/>
        </w:rPr>
        <w:t xml:space="preserve"> provides details of sites designated for their intrinsic environmental importance in Oxford. It shows that in 2017/18 there was no change in the area of any of these designated sites. This suggests that these sites</w:t>
      </w:r>
      <w:r w:rsidR="00126779" w:rsidRPr="00825638">
        <w:rPr>
          <w:rFonts w:cs="Calibri"/>
          <w:szCs w:val="22"/>
        </w:rPr>
        <w:t xml:space="preserve"> are well protected by Local Plan policies. </w:t>
      </w:r>
    </w:p>
    <w:p w:rsidR="00126779" w:rsidRPr="001C2886" w:rsidRDefault="00126779" w:rsidP="00126779">
      <w:pPr>
        <w:pStyle w:val="Default"/>
        <w:rPr>
          <w:color w:val="0070C0"/>
          <w:sz w:val="22"/>
          <w:szCs w:val="22"/>
        </w:rPr>
      </w:pPr>
    </w:p>
    <w:p w:rsidR="00126779" w:rsidRDefault="00126779" w:rsidP="00126779">
      <w:pPr>
        <w:rPr>
          <w:rFonts w:asciiTheme="minorHAnsi" w:hAnsiTheme="minorHAnsi"/>
          <w:b/>
        </w:rPr>
      </w:pPr>
      <w:r w:rsidRPr="009E16D0">
        <w:rPr>
          <w:rFonts w:asciiTheme="minorHAnsi" w:hAnsiTheme="minorHAnsi"/>
          <w:b/>
        </w:rPr>
        <w:t xml:space="preserve"> </w:t>
      </w:r>
    </w:p>
    <w:tbl>
      <w:tblPr>
        <w:tblStyle w:val="TableGrid"/>
        <w:tblW w:w="0" w:type="auto"/>
        <w:tblLook w:val="04A0" w:firstRow="1" w:lastRow="0" w:firstColumn="1" w:lastColumn="0" w:noHBand="0" w:noVBand="1"/>
      </w:tblPr>
      <w:tblGrid>
        <w:gridCol w:w="1748"/>
        <w:gridCol w:w="1500"/>
        <w:gridCol w:w="1500"/>
        <w:gridCol w:w="1500"/>
        <w:gridCol w:w="1501"/>
        <w:gridCol w:w="1493"/>
      </w:tblGrid>
      <w:tr w:rsidR="00126779" w:rsidRPr="00CC3D2A" w:rsidTr="00126779">
        <w:tc>
          <w:tcPr>
            <w:tcW w:w="1748" w:type="dxa"/>
            <w:shd w:val="clear" w:color="auto" w:fill="C2D69B" w:themeFill="accent3" w:themeFillTint="99"/>
          </w:tcPr>
          <w:p w:rsidR="00126779" w:rsidRPr="00DC4C48" w:rsidRDefault="00126779" w:rsidP="00126779">
            <w:pPr>
              <w:rPr>
                <w:rFonts w:asciiTheme="minorHAnsi" w:hAnsiTheme="minorHAnsi"/>
                <w:b/>
              </w:rPr>
            </w:pPr>
            <w:r w:rsidRPr="00DC4C48">
              <w:rPr>
                <w:rFonts w:asciiTheme="minorHAnsi" w:hAnsiTheme="minorHAnsi"/>
                <w:b/>
              </w:rPr>
              <w:t>Designation</w:t>
            </w:r>
          </w:p>
        </w:tc>
        <w:tc>
          <w:tcPr>
            <w:tcW w:w="1500" w:type="dxa"/>
            <w:shd w:val="clear" w:color="auto" w:fill="C2D69B" w:themeFill="accent3" w:themeFillTint="99"/>
          </w:tcPr>
          <w:p w:rsidR="00126779" w:rsidRPr="00DC4C48" w:rsidRDefault="00126779" w:rsidP="00126779">
            <w:pPr>
              <w:rPr>
                <w:rFonts w:asciiTheme="minorHAnsi" w:hAnsiTheme="minorHAnsi"/>
                <w:b/>
              </w:rPr>
            </w:pPr>
            <w:r w:rsidRPr="00DC4C48">
              <w:rPr>
                <w:rFonts w:asciiTheme="minorHAnsi" w:hAnsiTheme="minorHAnsi"/>
                <w:b/>
              </w:rPr>
              <w:t>2014/15</w:t>
            </w:r>
          </w:p>
        </w:tc>
        <w:tc>
          <w:tcPr>
            <w:tcW w:w="1500" w:type="dxa"/>
            <w:shd w:val="clear" w:color="auto" w:fill="C2D69B" w:themeFill="accent3" w:themeFillTint="99"/>
          </w:tcPr>
          <w:p w:rsidR="00126779" w:rsidRPr="00DC4C48" w:rsidRDefault="00126779" w:rsidP="00126779">
            <w:pPr>
              <w:rPr>
                <w:rFonts w:asciiTheme="minorHAnsi" w:hAnsiTheme="minorHAnsi"/>
                <w:b/>
              </w:rPr>
            </w:pPr>
            <w:r w:rsidRPr="00DC4C48">
              <w:rPr>
                <w:rFonts w:asciiTheme="minorHAnsi" w:hAnsiTheme="minorHAnsi"/>
                <w:b/>
              </w:rPr>
              <w:t>2015/16</w:t>
            </w:r>
          </w:p>
        </w:tc>
        <w:tc>
          <w:tcPr>
            <w:tcW w:w="1500" w:type="dxa"/>
            <w:shd w:val="clear" w:color="auto" w:fill="C2D69B" w:themeFill="accent3" w:themeFillTint="99"/>
          </w:tcPr>
          <w:p w:rsidR="00126779" w:rsidRPr="00DC4C48" w:rsidRDefault="00126779" w:rsidP="00126779">
            <w:pPr>
              <w:rPr>
                <w:rFonts w:asciiTheme="minorHAnsi" w:hAnsiTheme="minorHAnsi"/>
                <w:b/>
              </w:rPr>
            </w:pPr>
            <w:r w:rsidRPr="00DC4C48">
              <w:rPr>
                <w:rFonts w:asciiTheme="minorHAnsi" w:hAnsiTheme="minorHAnsi"/>
                <w:b/>
              </w:rPr>
              <w:t>2016/17</w:t>
            </w:r>
          </w:p>
        </w:tc>
        <w:tc>
          <w:tcPr>
            <w:tcW w:w="1501" w:type="dxa"/>
            <w:shd w:val="clear" w:color="auto" w:fill="C2D69B" w:themeFill="accent3" w:themeFillTint="99"/>
          </w:tcPr>
          <w:p w:rsidR="00126779" w:rsidRPr="00DC4C48" w:rsidRDefault="00126779" w:rsidP="00126779">
            <w:pPr>
              <w:rPr>
                <w:rFonts w:asciiTheme="minorHAnsi" w:hAnsiTheme="minorHAnsi"/>
                <w:b/>
              </w:rPr>
            </w:pPr>
            <w:r w:rsidRPr="00DC4C48">
              <w:rPr>
                <w:rFonts w:asciiTheme="minorHAnsi" w:hAnsiTheme="minorHAnsi"/>
                <w:b/>
              </w:rPr>
              <w:t>2017/18</w:t>
            </w:r>
          </w:p>
        </w:tc>
        <w:tc>
          <w:tcPr>
            <w:tcW w:w="1493" w:type="dxa"/>
            <w:shd w:val="clear" w:color="auto" w:fill="C2D69B" w:themeFill="accent3" w:themeFillTint="99"/>
          </w:tcPr>
          <w:p w:rsidR="00126779" w:rsidRPr="00DC4C48" w:rsidRDefault="00126779" w:rsidP="00126779">
            <w:pPr>
              <w:rPr>
                <w:rFonts w:asciiTheme="minorHAnsi" w:hAnsiTheme="minorHAnsi"/>
                <w:b/>
              </w:rPr>
            </w:pPr>
            <w:r w:rsidRPr="00DC4C48">
              <w:rPr>
                <w:rFonts w:asciiTheme="minorHAnsi" w:hAnsiTheme="minorHAnsi"/>
                <w:b/>
              </w:rPr>
              <w:t>Change</w:t>
            </w:r>
          </w:p>
        </w:tc>
      </w:tr>
      <w:tr w:rsidR="00126779" w:rsidRPr="00825638" w:rsidTr="00126779">
        <w:tc>
          <w:tcPr>
            <w:tcW w:w="1748" w:type="dxa"/>
          </w:tcPr>
          <w:p w:rsidR="00126779" w:rsidRPr="00825638" w:rsidRDefault="00126779" w:rsidP="00126779">
            <w:pPr>
              <w:pStyle w:val="Default"/>
              <w:rPr>
                <w:color w:val="auto"/>
                <w:sz w:val="20"/>
                <w:szCs w:val="20"/>
              </w:rPr>
            </w:pPr>
            <w:r w:rsidRPr="00825638">
              <w:rPr>
                <w:b/>
                <w:bCs/>
                <w:color w:val="auto"/>
                <w:sz w:val="20"/>
                <w:szCs w:val="20"/>
              </w:rPr>
              <w:t xml:space="preserve">Special Areas of Conservation (SAC) </w:t>
            </w:r>
            <w:r w:rsidRPr="00825638">
              <w:rPr>
                <w:color w:val="auto"/>
                <w:sz w:val="20"/>
                <w:szCs w:val="20"/>
              </w:rPr>
              <w:t xml:space="preserve">(1 site)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177.1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177.1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177.1 </w:t>
            </w:r>
          </w:p>
          <w:p w:rsidR="00126779" w:rsidRPr="00825638" w:rsidRDefault="00126779" w:rsidP="00126779">
            <w:pPr>
              <w:rPr>
                <w:rFonts w:asciiTheme="minorHAnsi" w:hAnsiTheme="minorHAnsi"/>
                <w:b/>
              </w:rPr>
            </w:pPr>
          </w:p>
        </w:tc>
        <w:tc>
          <w:tcPr>
            <w:tcW w:w="1501" w:type="dxa"/>
          </w:tcPr>
          <w:p w:rsidR="00126779" w:rsidRPr="00825638" w:rsidRDefault="00126779" w:rsidP="00126779">
            <w:pPr>
              <w:pStyle w:val="Default"/>
              <w:rPr>
                <w:color w:val="auto"/>
                <w:sz w:val="20"/>
                <w:szCs w:val="20"/>
              </w:rPr>
            </w:pPr>
            <w:r w:rsidRPr="00825638">
              <w:rPr>
                <w:color w:val="auto"/>
                <w:sz w:val="20"/>
                <w:szCs w:val="20"/>
              </w:rPr>
              <w:t>177.1</w:t>
            </w:r>
          </w:p>
        </w:tc>
        <w:tc>
          <w:tcPr>
            <w:tcW w:w="1493" w:type="dxa"/>
          </w:tcPr>
          <w:p w:rsidR="00126779" w:rsidRPr="00825638" w:rsidRDefault="00126779" w:rsidP="00126779">
            <w:pPr>
              <w:rPr>
                <w:rFonts w:asciiTheme="minorHAnsi" w:hAnsiTheme="minorHAnsi"/>
                <w:b/>
              </w:rPr>
            </w:pPr>
            <w:r w:rsidRPr="00825638">
              <w:rPr>
                <w:rFonts w:asciiTheme="minorHAnsi" w:hAnsiTheme="minorHAnsi"/>
                <w:b/>
              </w:rPr>
              <w:t>No change</w:t>
            </w:r>
          </w:p>
        </w:tc>
      </w:tr>
      <w:tr w:rsidR="00126779" w:rsidRPr="00825638" w:rsidTr="00126779">
        <w:tc>
          <w:tcPr>
            <w:tcW w:w="1748" w:type="dxa"/>
          </w:tcPr>
          <w:p w:rsidR="00126779" w:rsidRPr="00825638" w:rsidRDefault="00126779" w:rsidP="00126779">
            <w:pPr>
              <w:pStyle w:val="Default"/>
              <w:rPr>
                <w:color w:val="auto"/>
                <w:sz w:val="20"/>
                <w:szCs w:val="20"/>
              </w:rPr>
            </w:pPr>
            <w:r w:rsidRPr="00825638">
              <w:rPr>
                <w:b/>
                <w:bCs/>
                <w:color w:val="auto"/>
                <w:sz w:val="20"/>
                <w:szCs w:val="20"/>
              </w:rPr>
              <w:t xml:space="preserve">Sites of Special Scientific Interest (SSSI) </w:t>
            </w:r>
            <w:r w:rsidRPr="00825638">
              <w:rPr>
                <w:color w:val="auto"/>
                <w:sz w:val="20"/>
                <w:szCs w:val="20"/>
              </w:rPr>
              <w:t xml:space="preserve">(12 sites)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278.24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278.24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278.24 </w:t>
            </w:r>
          </w:p>
          <w:p w:rsidR="00126779" w:rsidRPr="00825638" w:rsidRDefault="00126779" w:rsidP="00126779">
            <w:pPr>
              <w:rPr>
                <w:rFonts w:asciiTheme="minorHAnsi" w:hAnsiTheme="minorHAnsi"/>
                <w:b/>
              </w:rPr>
            </w:pPr>
          </w:p>
        </w:tc>
        <w:tc>
          <w:tcPr>
            <w:tcW w:w="1501" w:type="dxa"/>
          </w:tcPr>
          <w:p w:rsidR="00126779" w:rsidRPr="00825638" w:rsidRDefault="00126779" w:rsidP="00126779">
            <w:pPr>
              <w:pStyle w:val="Default"/>
              <w:rPr>
                <w:color w:val="auto"/>
                <w:sz w:val="20"/>
                <w:szCs w:val="20"/>
              </w:rPr>
            </w:pPr>
            <w:r w:rsidRPr="00825638">
              <w:rPr>
                <w:color w:val="auto"/>
                <w:sz w:val="20"/>
                <w:szCs w:val="20"/>
              </w:rPr>
              <w:t>2.78.24</w:t>
            </w:r>
          </w:p>
        </w:tc>
        <w:tc>
          <w:tcPr>
            <w:tcW w:w="1493" w:type="dxa"/>
          </w:tcPr>
          <w:p w:rsidR="00126779" w:rsidRPr="00825638" w:rsidRDefault="00126779" w:rsidP="00126779">
            <w:pPr>
              <w:rPr>
                <w:rFonts w:asciiTheme="minorHAnsi" w:hAnsiTheme="minorHAnsi"/>
                <w:b/>
              </w:rPr>
            </w:pPr>
            <w:r w:rsidRPr="00825638">
              <w:rPr>
                <w:rFonts w:asciiTheme="minorHAnsi" w:hAnsiTheme="minorHAnsi"/>
                <w:b/>
              </w:rPr>
              <w:t>No change</w:t>
            </w:r>
          </w:p>
        </w:tc>
      </w:tr>
      <w:tr w:rsidR="00126779" w:rsidRPr="00825638" w:rsidTr="00126779">
        <w:tc>
          <w:tcPr>
            <w:tcW w:w="1748" w:type="dxa"/>
          </w:tcPr>
          <w:p w:rsidR="00126779" w:rsidRPr="00825638" w:rsidRDefault="00126779" w:rsidP="00126779">
            <w:pPr>
              <w:pStyle w:val="Default"/>
              <w:rPr>
                <w:color w:val="auto"/>
                <w:sz w:val="20"/>
                <w:szCs w:val="20"/>
              </w:rPr>
            </w:pPr>
            <w:r w:rsidRPr="00825638">
              <w:rPr>
                <w:b/>
                <w:bCs/>
                <w:color w:val="auto"/>
                <w:sz w:val="20"/>
                <w:szCs w:val="20"/>
              </w:rPr>
              <w:t xml:space="preserve">Regionally Important Geological or Geomorphological Sites (RIGS) </w:t>
            </w:r>
            <w:r w:rsidRPr="00825638">
              <w:rPr>
                <w:color w:val="auto"/>
                <w:sz w:val="20"/>
                <w:szCs w:val="20"/>
              </w:rPr>
              <w:t xml:space="preserve">(2 Sites)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2.0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2.0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2.0 </w:t>
            </w:r>
          </w:p>
          <w:p w:rsidR="00126779" w:rsidRPr="00825638" w:rsidRDefault="00126779" w:rsidP="00126779">
            <w:pPr>
              <w:rPr>
                <w:rFonts w:asciiTheme="minorHAnsi" w:hAnsiTheme="minorHAnsi"/>
                <w:b/>
              </w:rPr>
            </w:pPr>
          </w:p>
        </w:tc>
        <w:tc>
          <w:tcPr>
            <w:tcW w:w="1501" w:type="dxa"/>
          </w:tcPr>
          <w:p w:rsidR="00126779" w:rsidRPr="00825638" w:rsidRDefault="00126779" w:rsidP="00126779">
            <w:pPr>
              <w:pStyle w:val="Default"/>
              <w:rPr>
                <w:color w:val="auto"/>
                <w:sz w:val="20"/>
                <w:szCs w:val="20"/>
              </w:rPr>
            </w:pPr>
            <w:r w:rsidRPr="00825638">
              <w:rPr>
                <w:color w:val="auto"/>
                <w:sz w:val="20"/>
                <w:szCs w:val="20"/>
              </w:rPr>
              <w:t>2.0</w:t>
            </w:r>
          </w:p>
        </w:tc>
        <w:tc>
          <w:tcPr>
            <w:tcW w:w="1493" w:type="dxa"/>
          </w:tcPr>
          <w:p w:rsidR="00126779" w:rsidRPr="00825638" w:rsidRDefault="00126779" w:rsidP="00126779">
            <w:pPr>
              <w:rPr>
                <w:rFonts w:asciiTheme="minorHAnsi" w:hAnsiTheme="minorHAnsi"/>
                <w:b/>
              </w:rPr>
            </w:pPr>
            <w:r w:rsidRPr="00825638">
              <w:rPr>
                <w:rFonts w:asciiTheme="minorHAnsi" w:hAnsiTheme="minorHAnsi"/>
                <w:b/>
              </w:rPr>
              <w:t>No change</w:t>
            </w:r>
          </w:p>
        </w:tc>
      </w:tr>
      <w:tr w:rsidR="00126779" w:rsidRPr="00825638" w:rsidTr="00126779">
        <w:tc>
          <w:tcPr>
            <w:tcW w:w="1748" w:type="dxa"/>
          </w:tcPr>
          <w:p w:rsidR="00126779" w:rsidRPr="00825638" w:rsidRDefault="00126779" w:rsidP="00126779">
            <w:pPr>
              <w:pStyle w:val="Default"/>
              <w:rPr>
                <w:color w:val="auto"/>
                <w:sz w:val="20"/>
                <w:szCs w:val="20"/>
              </w:rPr>
            </w:pPr>
            <w:r w:rsidRPr="00825638">
              <w:rPr>
                <w:b/>
                <w:bCs/>
                <w:color w:val="auto"/>
                <w:sz w:val="20"/>
                <w:szCs w:val="20"/>
              </w:rPr>
              <w:t xml:space="preserve">Local Nature Reserves </w:t>
            </w:r>
          </w:p>
          <w:p w:rsidR="00126779" w:rsidRPr="00825638" w:rsidRDefault="00126779" w:rsidP="00126779">
            <w:pPr>
              <w:rPr>
                <w:rFonts w:asciiTheme="minorHAnsi" w:hAnsiTheme="minorHAnsi"/>
                <w:b/>
              </w:rPr>
            </w:pPr>
            <w:r w:rsidRPr="00825638">
              <w:rPr>
                <w:sz w:val="20"/>
                <w:szCs w:val="20"/>
              </w:rPr>
              <w:t xml:space="preserve">(3 Sites) </w:t>
            </w: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6.63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6.63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6.63 </w:t>
            </w:r>
          </w:p>
          <w:p w:rsidR="00126779" w:rsidRPr="00825638" w:rsidRDefault="00126779" w:rsidP="00126779">
            <w:pPr>
              <w:rPr>
                <w:rFonts w:asciiTheme="minorHAnsi" w:hAnsiTheme="minorHAnsi"/>
                <w:b/>
              </w:rPr>
            </w:pPr>
          </w:p>
        </w:tc>
        <w:tc>
          <w:tcPr>
            <w:tcW w:w="1501" w:type="dxa"/>
          </w:tcPr>
          <w:p w:rsidR="00126779" w:rsidRPr="00825638" w:rsidRDefault="00126779" w:rsidP="00126779">
            <w:pPr>
              <w:pStyle w:val="Default"/>
              <w:rPr>
                <w:color w:val="auto"/>
                <w:sz w:val="20"/>
                <w:szCs w:val="20"/>
              </w:rPr>
            </w:pPr>
            <w:r w:rsidRPr="00825638">
              <w:rPr>
                <w:color w:val="auto"/>
                <w:sz w:val="20"/>
                <w:szCs w:val="20"/>
              </w:rPr>
              <w:t>6.63</w:t>
            </w:r>
          </w:p>
        </w:tc>
        <w:tc>
          <w:tcPr>
            <w:tcW w:w="1493" w:type="dxa"/>
          </w:tcPr>
          <w:p w:rsidR="00126779" w:rsidRPr="00825638" w:rsidRDefault="00126779" w:rsidP="00126779">
            <w:pPr>
              <w:rPr>
                <w:rFonts w:asciiTheme="minorHAnsi" w:hAnsiTheme="minorHAnsi"/>
                <w:b/>
              </w:rPr>
            </w:pPr>
            <w:r w:rsidRPr="00825638">
              <w:rPr>
                <w:rFonts w:asciiTheme="minorHAnsi" w:hAnsiTheme="minorHAnsi"/>
                <w:b/>
              </w:rPr>
              <w:t>No change</w:t>
            </w:r>
          </w:p>
        </w:tc>
      </w:tr>
      <w:tr w:rsidR="00126779" w:rsidRPr="00825638" w:rsidTr="00126779">
        <w:tc>
          <w:tcPr>
            <w:tcW w:w="1748" w:type="dxa"/>
          </w:tcPr>
          <w:p w:rsidR="00126779" w:rsidRPr="00825638" w:rsidRDefault="00126779" w:rsidP="00126779">
            <w:pPr>
              <w:pStyle w:val="Default"/>
              <w:rPr>
                <w:color w:val="auto"/>
                <w:sz w:val="20"/>
                <w:szCs w:val="20"/>
              </w:rPr>
            </w:pPr>
            <w:r w:rsidRPr="00825638">
              <w:rPr>
                <w:b/>
                <w:bCs/>
                <w:color w:val="auto"/>
                <w:sz w:val="20"/>
                <w:szCs w:val="20"/>
              </w:rPr>
              <w:t xml:space="preserve">Local Wildlife Sites </w:t>
            </w:r>
          </w:p>
          <w:p w:rsidR="00126779" w:rsidRPr="00825638" w:rsidRDefault="00126779" w:rsidP="00126779">
            <w:pPr>
              <w:rPr>
                <w:rFonts w:asciiTheme="minorHAnsi" w:hAnsiTheme="minorHAnsi"/>
                <w:b/>
              </w:rPr>
            </w:pPr>
            <w:r w:rsidRPr="00825638">
              <w:rPr>
                <w:sz w:val="20"/>
                <w:szCs w:val="20"/>
              </w:rPr>
              <w:t xml:space="preserve">(14 sites) </w:t>
            </w: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125.44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125.44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125.44 </w:t>
            </w:r>
          </w:p>
          <w:p w:rsidR="00126779" w:rsidRPr="00825638" w:rsidRDefault="00126779" w:rsidP="00126779">
            <w:pPr>
              <w:rPr>
                <w:rFonts w:asciiTheme="minorHAnsi" w:hAnsiTheme="minorHAnsi"/>
                <w:b/>
              </w:rPr>
            </w:pPr>
          </w:p>
        </w:tc>
        <w:tc>
          <w:tcPr>
            <w:tcW w:w="1501" w:type="dxa"/>
          </w:tcPr>
          <w:p w:rsidR="00126779" w:rsidRPr="00825638" w:rsidRDefault="00126779" w:rsidP="00126779">
            <w:pPr>
              <w:pStyle w:val="Default"/>
              <w:rPr>
                <w:color w:val="auto"/>
                <w:sz w:val="20"/>
                <w:szCs w:val="20"/>
              </w:rPr>
            </w:pPr>
            <w:r w:rsidRPr="00825638">
              <w:rPr>
                <w:color w:val="auto"/>
                <w:sz w:val="20"/>
                <w:szCs w:val="20"/>
              </w:rPr>
              <w:t>125.44</w:t>
            </w:r>
          </w:p>
        </w:tc>
        <w:tc>
          <w:tcPr>
            <w:tcW w:w="1493" w:type="dxa"/>
          </w:tcPr>
          <w:p w:rsidR="00126779" w:rsidRPr="00825638" w:rsidRDefault="00126779" w:rsidP="00126779">
            <w:pPr>
              <w:rPr>
                <w:rFonts w:asciiTheme="minorHAnsi" w:hAnsiTheme="minorHAnsi"/>
                <w:b/>
              </w:rPr>
            </w:pPr>
            <w:r w:rsidRPr="00825638">
              <w:rPr>
                <w:rFonts w:asciiTheme="minorHAnsi" w:hAnsiTheme="minorHAnsi"/>
                <w:b/>
              </w:rPr>
              <w:t>No change</w:t>
            </w:r>
          </w:p>
        </w:tc>
      </w:tr>
      <w:tr w:rsidR="00126779" w:rsidRPr="00825638" w:rsidTr="00126779">
        <w:tc>
          <w:tcPr>
            <w:tcW w:w="1748" w:type="dxa"/>
          </w:tcPr>
          <w:p w:rsidR="00126779" w:rsidRPr="00825638" w:rsidRDefault="00126779" w:rsidP="00126779">
            <w:pPr>
              <w:pStyle w:val="Default"/>
              <w:rPr>
                <w:rFonts w:asciiTheme="minorHAnsi" w:hAnsiTheme="minorHAnsi"/>
                <w:b/>
                <w:color w:val="auto"/>
              </w:rPr>
            </w:pPr>
            <w:r w:rsidRPr="00825638">
              <w:rPr>
                <w:b/>
                <w:bCs/>
                <w:color w:val="auto"/>
                <w:sz w:val="20"/>
                <w:szCs w:val="20"/>
              </w:rPr>
              <w:t xml:space="preserve">Sites of Local Importance for Nature Conservation (SLINCs) </w:t>
            </w:r>
            <w:r w:rsidRPr="00825638">
              <w:rPr>
                <w:color w:val="auto"/>
                <w:sz w:val="20"/>
                <w:szCs w:val="20"/>
              </w:rPr>
              <w:t>(50 sites)</w:t>
            </w: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202.5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202.5 </w:t>
            </w:r>
          </w:p>
          <w:p w:rsidR="00126779" w:rsidRPr="00825638" w:rsidRDefault="00126779" w:rsidP="00126779">
            <w:pPr>
              <w:rPr>
                <w:rFonts w:asciiTheme="minorHAnsi" w:hAnsiTheme="minorHAnsi"/>
                <w:b/>
              </w:rPr>
            </w:pPr>
          </w:p>
        </w:tc>
        <w:tc>
          <w:tcPr>
            <w:tcW w:w="1500" w:type="dxa"/>
          </w:tcPr>
          <w:p w:rsidR="00126779" w:rsidRPr="00825638" w:rsidRDefault="00126779" w:rsidP="00126779">
            <w:pPr>
              <w:pStyle w:val="Default"/>
              <w:rPr>
                <w:color w:val="auto"/>
                <w:sz w:val="20"/>
                <w:szCs w:val="20"/>
              </w:rPr>
            </w:pPr>
            <w:r w:rsidRPr="00825638">
              <w:rPr>
                <w:color w:val="auto"/>
                <w:sz w:val="20"/>
                <w:szCs w:val="20"/>
              </w:rPr>
              <w:t xml:space="preserve">202.5 </w:t>
            </w:r>
          </w:p>
          <w:p w:rsidR="00126779" w:rsidRPr="00825638" w:rsidRDefault="00126779" w:rsidP="00126779">
            <w:pPr>
              <w:rPr>
                <w:rFonts w:asciiTheme="minorHAnsi" w:hAnsiTheme="minorHAnsi"/>
                <w:b/>
              </w:rPr>
            </w:pPr>
          </w:p>
        </w:tc>
        <w:tc>
          <w:tcPr>
            <w:tcW w:w="1501" w:type="dxa"/>
          </w:tcPr>
          <w:p w:rsidR="00126779" w:rsidRPr="00825638" w:rsidRDefault="00126779" w:rsidP="00126779">
            <w:pPr>
              <w:pStyle w:val="Default"/>
              <w:rPr>
                <w:rFonts w:asciiTheme="minorHAnsi" w:hAnsiTheme="minorHAnsi"/>
                <w:b/>
                <w:color w:val="auto"/>
              </w:rPr>
            </w:pPr>
            <w:r w:rsidRPr="00825638">
              <w:rPr>
                <w:color w:val="auto"/>
                <w:sz w:val="20"/>
                <w:szCs w:val="20"/>
              </w:rPr>
              <w:t>202.5</w:t>
            </w:r>
          </w:p>
        </w:tc>
        <w:tc>
          <w:tcPr>
            <w:tcW w:w="1493" w:type="dxa"/>
          </w:tcPr>
          <w:p w:rsidR="00126779" w:rsidRPr="00825638" w:rsidRDefault="00126779" w:rsidP="00126779">
            <w:pPr>
              <w:rPr>
                <w:rFonts w:asciiTheme="minorHAnsi" w:hAnsiTheme="minorHAnsi"/>
                <w:b/>
              </w:rPr>
            </w:pPr>
            <w:r w:rsidRPr="00825638">
              <w:rPr>
                <w:rFonts w:asciiTheme="minorHAnsi" w:hAnsiTheme="minorHAnsi"/>
                <w:b/>
              </w:rPr>
              <w:t>No change</w:t>
            </w:r>
          </w:p>
        </w:tc>
      </w:tr>
    </w:tbl>
    <w:p w:rsidR="00126779" w:rsidRPr="00825638" w:rsidRDefault="00F47862" w:rsidP="00126779">
      <w:pPr>
        <w:rPr>
          <w:sz w:val="20"/>
          <w:szCs w:val="20"/>
        </w:rPr>
      </w:pPr>
      <w:r w:rsidRPr="00ED615C">
        <w:rPr>
          <w:b/>
          <w:bCs/>
          <w:sz w:val="20"/>
          <w:szCs w:val="20"/>
        </w:rPr>
        <w:t>Table 22</w:t>
      </w:r>
      <w:r w:rsidR="00126779" w:rsidRPr="00ED615C">
        <w:rPr>
          <w:b/>
          <w:bCs/>
          <w:sz w:val="20"/>
          <w:szCs w:val="20"/>
        </w:rPr>
        <w:t xml:space="preserve">: </w:t>
      </w:r>
      <w:r w:rsidR="00126779" w:rsidRPr="00ED615C">
        <w:rPr>
          <w:sz w:val="20"/>
          <w:szCs w:val="20"/>
        </w:rPr>
        <w:t>Area (ha) of sites designated</w:t>
      </w:r>
      <w:r w:rsidR="00126779" w:rsidRPr="00825638">
        <w:rPr>
          <w:sz w:val="20"/>
          <w:szCs w:val="20"/>
        </w:rPr>
        <w:t xml:space="preserve"> for their environmental importance in Oxford (Natural England Data)</w:t>
      </w:r>
    </w:p>
    <w:p w:rsidR="00126779" w:rsidRPr="003B08C8" w:rsidRDefault="00126779" w:rsidP="00126779">
      <w:pPr>
        <w:autoSpaceDE w:val="0"/>
        <w:autoSpaceDN w:val="0"/>
        <w:adjustRightInd w:val="0"/>
        <w:rPr>
          <w:rFonts w:cs="Calibri"/>
          <w:color w:val="FF0000"/>
        </w:rPr>
      </w:pPr>
    </w:p>
    <w:p w:rsidR="00126779" w:rsidRPr="00825638" w:rsidRDefault="00126779" w:rsidP="00126779">
      <w:pPr>
        <w:autoSpaceDE w:val="0"/>
        <w:autoSpaceDN w:val="0"/>
        <w:adjustRightInd w:val="0"/>
        <w:rPr>
          <w:rFonts w:cs="Calibri"/>
          <w:szCs w:val="22"/>
        </w:rPr>
      </w:pPr>
      <w:r w:rsidRPr="00825638">
        <w:rPr>
          <w:rFonts w:cs="Calibri"/>
          <w:szCs w:val="22"/>
        </w:rPr>
        <w:t xml:space="preserve">5.3 </w:t>
      </w:r>
      <w:r w:rsidRPr="00825638">
        <w:rPr>
          <w:rFonts w:cs="Calibri"/>
          <w:szCs w:val="22"/>
        </w:rPr>
        <w:tab/>
        <w:t xml:space="preserve">As work on the new Local Plan continues, the City Council is working with Thames Valley Environmental Records Centre to re-assess the biodiversity value of some locally designated sites to ensure that they have the correct designation and level of protection to cover the emerging Local Plan period up to 2036. </w:t>
      </w:r>
    </w:p>
    <w:p w:rsidR="00126779" w:rsidRPr="00FB52AA" w:rsidRDefault="00126779" w:rsidP="00126779">
      <w:pPr>
        <w:rPr>
          <w:rFonts w:asciiTheme="minorHAnsi" w:hAnsiTheme="minorHAnsi"/>
          <w:b/>
          <w:color w:val="548DD4" w:themeColor="text2" w:themeTint="99"/>
        </w:rPr>
      </w:pPr>
    </w:p>
    <w:bookmarkStart w:id="34" w:name="_Toc529178364"/>
    <w:p w:rsidR="00126779" w:rsidRPr="009E16D0" w:rsidRDefault="00292336" w:rsidP="00F97D78">
      <w:pPr>
        <w:pStyle w:val="Heading2"/>
      </w:pPr>
      <w:r w:rsidRPr="00351DD4">
        <w:rPr>
          <w:rFonts w:eastAsia="Calibri" w:cs="Calibri"/>
          <w:noProof/>
          <w:color w:val="244061" w:themeColor="accent1" w:themeShade="80"/>
          <w:sz w:val="8"/>
          <w:szCs w:val="22"/>
        </w:rPr>
        <mc:AlternateContent>
          <mc:Choice Requires="wps">
            <w:drawing>
              <wp:anchor distT="0" distB="0" distL="114300" distR="114300" simplePos="0" relativeHeight="251700224" behindDoc="1" locked="0" layoutInCell="1" allowOverlap="1" wp14:anchorId="6601439D" wp14:editId="598BD70B">
                <wp:simplePos x="0" y="0"/>
                <wp:positionH relativeFrom="column">
                  <wp:posOffset>0</wp:posOffset>
                </wp:positionH>
                <wp:positionV relativeFrom="paragraph">
                  <wp:posOffset>33304</wp:posOffset>
                </wp:positionV>
                <wp:extent cx="5885180" cy="1655379"/>
                <wp:effectExtent l="0" t="0" r="1270" b="2540"/>
                <wp:wrapNone/>
                <wp:docPr id="62" name="Rectangle 62"/>
                <wp:cNvGraphicFramePr/>
                <a:graphic xmlns:a="http://schemas.openxmlformats.org/drawingml/2006/main">
                  <a:graphicData uri="http://schemas.microsoft.com/office/word/2010/wordprocessingShape">
                    <wps:wsp>
                      <wps:cNvSpPr/>
                      <wps:spPr>
                        <a:xfrm>
                          <a:off x="0" y="0"/>
                          <a:ext cx="5885180" cy="1655379"/>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AA5BC6" id="Rectangle 62" o:spid="_x0000_s1026" style="position:absolute;margin-left:0;margin-top:2.6pt;width:463.4pt;height:130.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" fillcolor="#c3d69b" stroked="f" strokeweight="2pt"/>
            </w:pict>
          </mc:Fallback>
        </mc:AlternateContent>
      </w:r>
      <w:r w:rsidR="00126779" w:rsidRPr="009E16D0">
        <w:t>I</w:t>
      </w:r>
      <w:r w:rsidR="00F97D78" w:rsidRPr="009E16D0">
        <w:t>NDICATOR 26: NATURAL RESOURCE IMPACT ANALYSIS AND ON-SITE RENEWABLE ENERGY GENERATION</w:t>
      </w:r>
      <w:bookmarkEnd w:id="34"/>
    </w:p>
    <w:p w:rsidR="00126779" w:rsidRDefault="00126779" w:rsidP="00126779">
      <w:pPr>
        <w:pStyle w:val="Default"/>
        <w:rPr>
          <w:sz w:val="22"/>
          <w:szCs w:val="22"/>
        </w:rPr>
      </w:pPr>
      <w:r>
        <w:rPr>
          <w:b/>
          <w:bCs/>
          <w:sz w:val="22"/>
          <w:szCs w:val="22"/>
        </w:rPr>
        <w:t xml:space="preserve">Target: 100% of qualifying planning permissions granted to comply with NRIA requirements </w:t>
      </w:r>
    </w:p>
    <w:p w:rsidR="00126779" w:rsidRDefault="00126779" w:rsidP="00126779">
      <w:pPr>
        <w:pStyle w:val="Default"/>
        <w:rPr>
          <w:sz w:val="22"/>
          <w:szCs w:val="22"/>
        </w:rPr>
      </w:pPr>
      <w:r>
        <w:rPr>
          <w:b/>
          <w:bCs/>
          <w:sz w:val="22"/>
          <w:szCs w:val="22"/>
        </w:rPr>
        <w:t xml:space="preserve">Minimum of 20% on-site renewable or low carbon energy from qualifying sites </w:t>
      </w:r>
    </w:p>
    <w:p w:rsidR="00126779" w:rsidRDefault="00126779" w:rsidP="00126779">
      <w:pPr>
        <w:autoSpaceDE w:val="0"/>
        <w:autoSpaceDN w:val="0"/>
        <w:adjustRightInd w:val="0"/>
        <w:rPr>
          <w:sz w:val="20"/>
          <w:szCs w:val="20"/>
        </w:rPr>
      </w:pPr>
      <w:r>
        <w:rPr>
          <w:sz w:val="20"/>
          <w:szCs w:val="20"/>
        </w:rPr>
        <w:t>(Oxford Core Strategy Policy CS9, Sites and Housing Plan Policy HP11, Saved Local Plan Policy CP18)</w:t>
      </w:r>
    </w:p>
    <w:p w:rsidR="00292336" w:rsidRDefault="00292336" w:rsidP="00126779">
      <w:pPr>
        <w:autoSpaceDE w:val="0"/>
        <w:autoSpaceDN w:val="0"/>
        <w:adjustRightInd w:val="0"/>
        <w:rPr>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rsidTr="00292336">
        <w:trPr>
          <w:trHeight w:val="218"/>
        </w:trPr>
        <w:tc>
          <w:tcPr>
            <w:tcW w:w="5420" w:type="dxa"/>
          </w:tcPr>
          <w:p w:rsidR="00292336" w:rsidRPr="00283314" w:rsidRDefault="00292336" w:rsidP="00292336">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w:t>
            </w:r>
            <w:r w:rsidRPr="00283314">
              <w:rPr>
                <w:rFonts w:cs="Calibri"/>
                <w:b/>
                <w:color w:val="632423" w:themeColor="accent2" w:themeShade="80"/>
                <w:szCs w:val="22"/>
              </w:rPr>
              <w:t>/1</w:t>
            </w:r>
            <w:r>
              <w:rPr>
                <w:rFonts w:cs="Calibri"/>
                <w:b/>
                <w:color w:val="632423" w:themeColor="accent2" w:themeShade="80"/>
                <w:szCs w:val="22"/>
              </w:rPr>
              <w:t>8</w:t>
            </w:r>
            <w:r w:rsidRPr="00283314">
              <w:rPr>
                <w:rFonts w:cs="Calibri"/>
                <w:b/>
                <w:color w:val="632423" w:themeColor="accent2" w:themeShade="80"/>
                <w:szCs w:val="22"/>
              </w:rPr>
              <w:t>:</w:t>
            </w:r>
          </w:p>
        </w:tc>
        <w:tc>
          <w:tcPr>
            <w:tcW w:w="3714" w:type="dxa"/>
            <w:gridSpan w:val="2"/>
          </w:tcPr>
          <w:p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rsidTr="00292336">
        <w:tc>
          <w:tcPr>
            <w:tcW w:w="5420" w:type="dxa"/>
            <w:vMerge w:val="restart"/>
          </w:tcPr>
          <w:p w:rsidR="00292336" w:rsidRPr="009B0669" w:rsidRDefault="00292336" w:rsidP="00292336">
            <w:pPr>
              <w:autoSpaceDE w:val="0"/>
              <w:autoSpaceDN w:val="0"/>
              <w:adjustRightInd w:val="0"/>
              <w:jc w:val="center"/>
              <w:rPr>
                <w:rFonts w:cs="Calibri"/>
                <w:b/>
                <w:color w:val="632423" w:themeColor="accent2" w:themeShade="80"/>
                <w:sz w:val="6"/>
                <w:szCs w:val="6"/>
              </w:rPr>
            </w:pPr>
          </w:p>
          <w:p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2321C407" wp14:editId="616A0EB1">
                  <wp:extent cx="1388853" cy="418201"/>
                  <wp:effectExtent l="0" t="0" r="1905" b="1270"/>
                  <wp:docPr id="63" name="Picture 6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Cs w:val="22"/>
              </w:rPr>
            </w:pPr>
          </w:p>
          <w:p w:rsidR="00292336" w:rsidRPr="001A698B" w:rsidRDefault="00292336" w:rsidP="00292336">
            <w:pPr>
              <w:autoSpaceDE w:val="0"/>
              <w:autoSpaceDN w:val="0"/>
              <w:adjustRightInd w:val="0"/>
              <w:jc w:val="center"/>
              <w:rPr>
                <w:rFonts w:cs="Calibri"/>
                <w:b/>
                <w:color w:val="632423" w:themeColor="accent2" w:themeShade="80"/>
                <w:sz w:val="14"/>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3CC28773" wp14:editId="0DD316E1">
                  <wp:extent cx="819150" cy="256182"/>
                  <wp:effectExtent l="0" t="0" r="0" b="0"/>
                  <wp:docPr id="64" name="Picture 6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rsidTr="00292336">
        <w:tc>
          <w:tcPr>
            <w:tcW w:w="5420" w:type="dxa"/>
            <w:vMerge/>
          </w:tcPr>
          <w:p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6216FE1" wp14:editId="7BCE0924">
                  <wp:extent cx="819150" cy="256182"/>
                  <wp:effectExtent l="0" t="0" r="0" b="0"/>
                  <wp:docPr id="65" name="Picture 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5A2C19" w:rsidRDefault="00126779" w:rsidP="00126779">
      <w:pPr>
        <w:autoSpaceDE w:val="0"/>
        <w:autoSpaceDN w:val="0"/>
        <w:adjustRightInd w:val="0"/>
        <w:rPr>
          <w:rFonts w:asciiTheme="minorHAnsi" w:hAnsiTheme="minorHAnsi" w:cs="Calibri"/>
          <w:color w:val="000000"/>
        </w:rPr>
      </w:pPr>
    </w:p>
    <w:p w:rsidR="00126779" w:rsidRDefault="00126779" w:rsidP="00126779">
      <w:pPr>
        <w:autoSpaceDE w:val="0"/>
        <w:autoSpaceDN w:val="0"/>
        <w:adjustRightInd w:val="0"/>
        <w:rPr>
          <w:rFonts w:asciiTheme="minorHAnsi" w:hAnsiTheme="minorHAnsi" w:cs="Calibri"/>
          <w:color w:val="000000"/>
          <w:szCs w:val="22"/>
        </w:rPr>
      </w:pPr>
      <w:r>
        <w:rPr>
          <w:rFonts w:asciiTheme="minorHAnsi" w:hAnsiTheme="minorHAnsi" w:cs="Calibri"/>
          <w:color w:val="000000"/>
          <w:szCs w:val="22"/>
        </w:rPr>
        <w:t>5.4</w:t>
      </w:r>
      <w:r>
        <w:rPr>
          <w:rFonts w:asciiTheme="minorHAnsi" w:hAnsiTheme="minorHAnsi" w:cs="Calibri"/>
          <w:color w:val="000000"/>
          <w:szCs w:val="22"/>
        </w:rPr>
        <w:tab/>
      </w:r>
      <w:r w:rsidRPr="005A2C19">
        <w:rPr>
          <w:rFonts w:asciiTheme="minorHAnsi" w:hAnsiTheme="minorHAnsi" w:cs="Calibri"/>
          <w:color w:val="000000"/>
          <w:szCs w:val="22"/>
        </w:rPr>
        <w:t xml:space="preserve">Oxford City Council has a longstanding commitment to making Oxford more sustainable. This commitment can be realised by requiring sustainable design in planning policy. By requiring greater efficiency of resources and a proportion of energy from on-site renewable sources, we can mitigate the wider environmental effects of increasing urbanisation. </w:t>
      </w:r>
    </w:p>
    <w:p w:rsidR="00126779" w:rsidRDefault="00126779" w:rsidP="00126779">
      <w:pPr>
        <w:autoSpaceDE w:val="0"/>
        <w:autoSpaceDN w:val="0"/>
        <w:adjustRightInd w:val="0"/>
        <w:rPr>
          <w:rFonts w:asciiTheme="minorHAnsi" w:hAnsiTheme="minorHAnsi" w:cs="Calibri"/>
          <w:color w:val="000000"/>
          <w:szCs w:val="22"/>
        </w:rPr>
      </w:pPr>
    </w:p>
    <w:p w:rsidR="00126779" w:rsidRPr="001351EB" w:rsidRDefault="00126779" w:rsidP="00126779">
      <w:pPr>
        <w:pStyle w:val="Default"/>
        <w:spacing w:after="255"/>
        <w:rPr>
          <w:sz w:val="14"/>
          <w:szCs w:val="14"/>
        </w:rPr>
      </w:pPr>
      <w:r>
        <w:rPr>
          <w:sz w:val="22"/>
          <w:szCs w:val="22"/>
        </w:rPr>
        <w:t xml:space="preserve">5.5 </w:t>
      </w:r>
      <w:r>
        <w:rPr>
          <w:sz w:val="22"/>
          <w:szCs w:val="22"/>
        </w:rPr>
        <w:tab/>
        <w:t>Core Strategy Policy CS9 and Saved Local Plan Policy CP.18 require non-residential developments of 2,000m</w:t>
      </w:r>
      <w:r w:rsidR="001351EB">
        <w:rPr>
          <w:sz w:val="22"/>
          <w:szCs w:val="22"/>
          <w:vertAlign w:val="superscript"/>
        </w:rPr>
        <w:t>2</w:t>
      </w:r>
      <w:r>
        <w:rPr>
          <w:sz w:val="14"/>
          <w:szCs w:val="14"/>
        </w:rPr>
        <w:t xml:space="preserve"> </w:t>
      </w:r>
      <w:r>
        <w:rPr>
          <w:sz w:val="22"/>
          <w:szCs w:val="22"/>
        </w:rPr>
        <w:t xml:space="preserve">or more to submit a Natural Resource Impact Assessment (NRIA). The NRIA assesses a range of factors including energy efficient design, renewable energy generation, use of materials and water management, as set out in the NRIA SPD. Qualifying developments are required to meet 20% of their energy needs on site through renewable and low carbon technologies. Rarely is the City Council likely to approve a development where an NRIA checklist score of at least 6 out of 11 is not achieved, including at least the minimum standard in each section. </w:t>
      </w:r>
    </w:p>
    <w:p w:rsidR="00126779" w:rsidRDefault="00126779" w:rsidP="00126779">
      <w:pPr>
        <w:pStyle w:val="Default"/>
        <w:rPr>
          <w:sz w:val="22"/>
          <w:szCs w:val="22"/>
        </w:rPr>
      </w:pPr>
      <w:r>
        <w:rPr>
          <w:sz w:val="22"/>
          <w:szCs w:val="22"/>
        </w:rPr>
        <w:t xml:space="preserve">5.6 </w:t>
      </w:r>
      <w:r>
        <w:rPr>
          <w:sz w:val="22"/>
          <w:szCs w:val="22"/>
        </w:rPr>
        <w:tab/>
        <w:t>The requirement to undertake NRIAs for residential developments of 10+ dwellings was removed when Part L of the Building Regulations was updated to require improved energy efficiency standards in all residential developments. Instead, Policy HP11 of the Sites and Housing Plan requires all applications for new residential or student accommodation development to include an energy statement explaining how energy efficiencies have been incorporated. Policy HP11 also requires developments of 10+ dwellings, 20+ student rooms or more than 500m</w:t>
      </w:r>
      <w:r>
        <w:rPr>
          <w:sz w:val="14"/>
          <w:szCs w:val="14"/>
        </w:rPr>
        <w:t xml:space="preserve">2 </w:t>
      </w:r>
      <w:r>
        <w:rPr>
          <w:sz w:val="22"/>
          <w:szCs w:val="22"/>
        </w:rPr>
        <w:t xml:space="preserve">of student accommodation to meet at least 20% of their energy needs from on-site renewable or low carbon technologies. </w:t>
      </w:r>
    </w:p>
    <w:p w:rsidR="00126779" w:rsidRPr="005A2C19" w:rsidRDefault="00126779" w:rsidP="00126779">
      <w:pPr>
        <w:rPr>
          <w:rFonts w:asciiTheme="minorHAnsi" w:hAnsiTheme="minorHAnsi"/>
        </w:rPr>
      </w:pPr>
    </w:p>
    <w:tbl>
      <w:tblPr>
        <w:tblStyle w:val="TableGrid"/>
        <w:tblW w:w="0" w:type="auto"/>
        <w:tblLook w:val="04A0" w:firstRow="1" w:lastRow="0" w:firstColumn="1" w:lastColumn="0" w:noHBand="0" w:noVBand="1"/>
      </w:tblPr>
      <w:tblGrid>
        <w:gridCol w:w="2290"/>
        <w:gridCol w:w="2426"/>
        <w:gridCol w:w="2259"/>
        <w:gridCol w:w="2267"/>
      </w:tblGrid>
      <w:tr w:rsidR="00126779" w:rsidRPr="009E16D0" w:rsidTr="00292336">
        <w:tc>
          <w:tcPr>
            <w:tcW w:w="2290" w:type="dxa"/>
            <w:shd w:val="clear" w:color="auto" w:fill="D6E3BC" w:themeFill="accent3" w:themeFillTint="66"/>
          </w:tcPr>
          <w:p w:rsidR="00126779" w:rsidRPr="009E16D0" w:rsidRDefault="00126779" w:rsidP="00126779">
            <w:pPr>
              <w:rPr>
                <w:rFonts w:asciiTheme="minorHAnsi" w:hAnsiTheme="minorHAnsi"/>
                <w:szCs w:val="22"/>
              </w:rPr>
            </w:pPr>
            <w:r w:rsidRPr="009E16D0">
              <w:rPr>
                <w:rFonts w:asciiTheme="minorHAnsi" w:hAnsiTheme="minorHAnsi"/>
                <w:szCs w:val="22"/>
              </w:rPr>
              <w:t>Application reference &amp; Site</w:t>
            </w:r>
          </w:p>
        </w:tc>
        <w:tc>
          <w:tcPr>
            <w:tcW w:w="2426" w:type="dxa"/>
            <w:shd w:val="clear" w:color="auto" w:fill="D6E3BC" w:themeFill="accent3" w:themeFillTint="66"/>
          </w:tcPr>
          <w:p w:rsidR="00126779" w:rsidRPr="009E16D0" w:rsidRDefault="00126779" w:rsidP="00126779">
            <w:pPr>
              <w:rPr>
                <w:rFonts w:asciiTheme="minorHAnsi" w:hAnsiTheme="minorHAnsi"/>
                <w:szCs w:val="22"/>
              </w:rPr>
            </w:pPr>
            <w:r w:rsidRPr="009E16D0">
              <w:rPr>
                <w:rFonts w:asciiTheme="minorHAnsi" w:hAnsiTheme="minorHAnsi"/>
                <w:szCs w:val="22"/>
              </w:rPr>
              <w:t>Development</w:t>
            </w:r>
          </w:p>
        </w:tc>
        <w:tc>
          <w:tcPr>
            <w:tcW w:w="2259" w:type="dxa"/>
            <w:shd w:val="clear" w:color="auto" w:fill="D6E3BC" w:themeFill="accent3" w:themeFillTint="66"/>
          </w:tcPr>
          <w:p w:rsidR="00126779" w:rsidRPr="009E16D0" w:rsidRDefault="00126779" w:rsidP="00126779">
            <w:pPr>
              <w:rPr>
                <w:rFonts w:asciiTheme="minorHAnsi" w:hAnsiTheme="minorHAnsi"/>
                <w:szCs w:val="22"/>
              </w:rPr>
            </w:pPr>
            <w:r w:rsidRPr="009E16D0">
              <w:rPr>
                <w:rFonts w:asciiTheme="minorHAnsi" w:hAnsiTheme="minorHAnsi"/>
                <w:szCs w:val="22"/>
              </w:rPr>
              <w:t>NRIA Checklist Score</w:t>
            </w:r>
          </w:p>
        </w:tc>
        <w:tc>
          <w:tcPr>
            <w:tcW w:w="2267" w:type="dxa"/>
            <w:shd w:val="clear" w:color="auto" w:fill="D6E3BC" w:themeFill="accent3" w:themeFillTint="66"/>
          </w:tcPr>
          <w:p w:rsidR="00126779" w:rsidRPr="009E16D0" w:rsidRDefault="00126779" w:rsidP="00126779">
            <w:pPr>
              <w:rPr>
                <w:rFonts w:asciiTheme="minorHAnsi" w:hAnsiTheme="minorHAnsi"/>
                <w:szCs w:val="22"/>
              </w:rPr>
            </w:pPr>
            <w:r w:rsidRPr="009E16D0">
              <w:rPr>
                <w:rFonts w:asciiTheme="minorHAnsi" w:hAnsiTheme="minorHAnsi"/>
                <w:szCs w:val="22"/>
              </w:rPr>
              <w:t xml:space="preserve">Proposed On-Site Renewable Energy Generation </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17/02140/FUL, </w:t>
            </w:r>
            <w:r w:rsidRPr="00292336">
              <w:rPr>
                <w:rFonts w:asciiTheme="minorHAnsi" w:hAnsiTheme="minorHAnsi"/>
                <w:bCs/>
                <w:szCs w:val="22"/>
                <w:lang w:val="en"/>
              </w:rPr>
              <w:t>British Telecom, James Wolfe Road, Oxford, OX4 2PY</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lang w:val="en"/>
              </w:rPr>
              <w:t xml:space="preserve">Demolition of existing buildings. Erection of new student accommodation comprising of 885 student rooms (of which 46 would be fully accessible), communal areas and amenity </w:t>
            </w:r>
            <w:r w:rsidRPr="00292336">
              <w:rPr>
                <w:rFonts w:asciiTheme="minorHAnsi" w:hAnsiTheme="minorHAnsi"/>
                <w:szCs w:val="22"/>
                <w:lang w:val="en"/>
              </w:rPr>
              <w:lastRenderedPageBreak/>
              <w:t>provision, associated cafe and shop, launderettes, plant room and electricity substation, new vehicular and pedestrian access to James Wolfe Road and closure of existing, cycle parking, landscaping and new enclosures.</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lastRenderedPageBreak/>
              <w:t>11</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20% onsite renewable energy generation (solar PV, gas fired CHP, mechanical ventilation with heat recovery to public areas, common rooms and retail units)</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lastRenderedPageBreak/>
              <w:t xml:space="preserve">17/01463/FUL, 474 </w:t>
            </w:r>
            <w:proofErr w:type="spellStart"/>
            <w:r w:rsidRPr="00292336">
              <w:rPr>
                <w:rFonts w:asciiTheme="minorHAnsi" w:hAnsiTheme="minorHAnsi"/>
                <w:szCs w:val="22"/>
              </w:rPr>
              <w:t>Cowley</w:t>
            </w:r>
            <w:proofErr w:type="spellEnd"/>
            <w:r w:rsidRPr="00292336">
              <w:rPr>
                <w:rFonts w:asciiTheme="minorHAnsi" w:hAnsiTheme="minorHAnsi"/>
                <w:szCs w:val="22"/>
              </w:rPr>
              <w:t xml:space="preserve"> Road Oxford OX4 2DP</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rPr>
              <w:t>The construction of a 64 bed Care Home (Class C2) together with the ancillary accommodation; lounge and dining facilities; car parking facilities and landscaping, demolition of existing structures.</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6</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40%</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lang w:val="en"/>
              </w:rPr>
              <w:t xml:space="preserve">17/00758/FUL, St Catherine’s College Manor Road Oxford </w:t>
            </w:r>
            <w:proofErr w:type="spellStart"/>
            <w:r w:rsidRPr="00292336">
              <w:rPr>
                <w:rFonts w:asciiTheme="minorHAnsi" w:hAnsiTheme="minorHAnsi"/>
                <w:szCs w:val="22"/>
                <w:lang w:val="en"/>
              </w:rPr>
              <w:t>Oxfordshire</w:t>
            </w:r>
            <w:proofErr w:type="spellEnd"/>
            <w:r w:rsidRPr="00292336">
              <w:rPr>
                <w:rFonts w:asciiTheme="minorHAnsi" w:hAnsiTheme="minorHAnsi"/>
                <w:szCs w:val="22"/>
                <w:lang w:val="en"/>
              </w:rPr>
              <w:t xml:space="preserve"> OX1 3UJ</w:t>
            </w:r>
          </w:p>
        </w:tc>
        <w:tc>
          <w:tcPr>
            <w:tcW w:w="2426" w:type="dxa"/>
          </w:tcPr>
          <w:p w:rsidR="00126779" w:rsidRPr="00292336" w:rsidRDefault="00126779" w:rsidP="00126779">
            <w:pPr>
              <w:rPr>
                <w:rFonts w:asciiTheme="minorHAnsi" w:hAnsiTheme="minorHAnsi"/>
                <w:szCs w:val="22"/>
                <w:lang w:val="en"/>
              </w:rPr>
            </w:pPr>
            <w:r w:rsidRPr="00292336">
              <w:rPr>
                <w:rFonts w:asciiTheme="minorHAnsi" w:hAnsiTheme="minorHAnsi"/>
                <w:szCs w:val="22"/>
                <w:lang w:val="en"/>
              </w:rPr>
              <w:t xml:space="preserve">Erection of 78 student bedrooms (4 with disabled access) arranged in clusters of 8, over three floors in three 'pavilion' style buildings connected by glazed stairwells; together with a three </w:t>
            </w:r>
            <w:proofErr w:type="spellStart"/>
            <w:r w:rsidRPr="00292336">
              <w:rPr>
                <w:rFonts w:asciiTheme="minorHAnsi" w:hAnsiTheme="minorHAnsi"/>
                <w:szCs w:val="22"/>
                <w:lang w:val="en"/>
              </w:rPr>
              <w:t>storey</w:t>
            </w:r>
            <w:proofErr w:type="spellEnd"/>
            <w:r w:rsidRPr="00292336">
              <w:rPr>
                <w:rFonts w:asciiTheme="minorHAnsi" w:hAnsiTheme="minorHAnsi"/>
                <w:szCs w:val="22"/>
                <w:lang w:val="en"/>
              </w:rPr>
              <w:t xml:space="preserve"> Graduate Centre, landscaping, flood compensation, and associated infrastructure; and including the demolition of staircase 23.</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20% (betterment of existing systems, Very slight incursion into green belt</w:t>
            </w:r>
          </w:p>
        </w:tc>
      </w:tr>
      <w:tr w:rsidR="00126779" w:rsidRPr="009E16D0" w:rsidTr="00126779">
        <w:tc>
          <w:tcPr>
            <w:tcW w:w="2290" w:type="dxa"/>
          </w:tcPr>
          <w:p w:rsidR="00126779" w:rsidRPr="00292336" w:rsidRDefault="00126779" w:rsidP="00126779">
            <w:pPr>
              <w:rPr>
                <w:rFonts w:asciiTheme="minorHAnsi" w:hAnsiTheme="minorHAnsi"/>
                <w:szCs w:val="22"/>
                <w:lang w:val="en"/>
              </w:rPr>
            </w:pPr>
            <w:r w:rsidRPr="00292336">
              <w:rPr>
                <w:rFonts w:asciiTheme="minorHAnsi" w:hAnsiTheme="minorHAnsi"/>
                <w:szCs w:val="22"/>
                <w:lang w:val="en"/>
              </w:rPr>
              <w:t xml:space="preserve">17/00250/FUL, Castle Mill Roger </w:t>
            </w:r>
            <w:proofErr w:type="spellStart"/>
            <w:r w:rsidRPr="00292336">
              <w:rPr>
                <w:rFonts w:asciiTheme="minorHAnsi" w:hAnsiTheme="minorHAnsi"/>
                <w:szCs w:val="22"/>
                <w:lang w:val="en"/>
              </w:rPr>
              <w:t>Dudman</w:t>
            </w:r>
            <w:proofErr w:type="spellEnd"/>
            <w:r w:rsidRPr="00292336">
              <w:rPr>
                <w:rFonts w:asciiTheme="minorHAnsi" w:hAnsiTheme="minorHAnsi"/>
                <w:szCs w:val="22"/>
                <w:lang w:val="en"/>
              </w:rPr>
              <w:t xml:space="preserve"> Way Oxford OX1 1AF</w:t>
            </w:r>
          </w:p>
        </w:tc>
        <w:tc>
          <w:tcPr>
            <w:tcW w:w="2426" w:type="dxa"/>
          </w:tcPr>
          <w:p w:rsidR="00126779" w:rsidRPr="00292336" w:rsidRDefault="00126779" w:rsidP="00126779">
            <w:pPr>
              <w:rPr>
                <w:rFonts w:asciiTheme="minorHAnsi" w:hAnsiTheme="minorHAnsi"/>
                <w:szCs w:val="22"/>
                <w:lang w:val="en"/>
              </w:rPr>
            </w:pPr>
            <w:r w:rsidRPr="00292336">
              <w:rPr>
                <w:rFonts w:asciiTheme="minorHAnsi" w:hAnsiTheme="minorHAnsi"/>
                <w:szCs w:val="22"/>
                <w:lang w:val="en"/>
              </w:rPr>
              <w:t xml:space="preserve">Alterations for the continued use of the buildings as student accommodation comprising: External alterations to elevations and roofs of the existing buildings; tree planting (including containers and supporting structures); alterations to, and landscaping of the courtyards; new cycle stores; alterations to existing lighting; and </w:t>
            </w:r>
            <w:r w:rsidRPr="00292336">
              <w:rPr>
                <w:rFonts w:asciiTheme="minorHAnsi" w:hAnsiTheme="minorHAnsi"/>
                <w:szCs w:val="22"/>
                <w:lang w:val="en"/>
              </w:rPr>
              <w:lastRenderedPageBreak/>
              <w:t>the formation of pedestrian pathways on the east side of Blocks 5 and 8 and the three gatehouses</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lastRenderedPageBreak/>
              <w:t>N/A</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r>
      <w:tr w:rsidR="00126779" w:rsidRPr="009E16D0" w:rsidTr="00126779">
        <w:tc>
          <w:tcPr>
            <w:tcW w:w="2290" w:type="dxa"/>
          </w:tcPr>
          <w:p w:rsidR="00126779" w:rsidRPr="00292336" w:rsidRDefault="00126779" w:rsidP="00126779">
            <w:pPr>
              <w:rPr>
                <w:rFonts w:asciiTheme="minorHAnsi" w:hAnsiTheme="minorHAnsi"/>
                <w:szCs w:val="22"/>
                <w:lang w:val="en"/>
              </w:rPr>
            </w:pPr>
            <w:r w:rsidRPr="00292336">
              <w:rPr>
                <w:rFonts w:asciiTheme="minorHAnsi" w:hAnsiTheme="minorHAnsi"/>
                <w:szCs w:val="22"/>
                <w:lang w:val="en"/>
              </w:rPr>
              <w:lastRenderedPageBreak/>
              <w:t xml:space="preserve">16/02945/FUL, </w:t>
            </w:r>
            <w:r w:rsidRPr="00292336">
              <w:rPr>
                <w:rFonts w:asciiTheme="minorHAnsi" w:hAnsiTheme="minorHAnsi"/>
                <w:szCs w:val="22"/>
              </w:rPr>
              <w:t xml:space="preserve">Oxford Business Centre </w:t>
            </w:r>
            <w:proofErr w:type="spellStart"/>
            <w:r w:rsidRPr="00292336">
              <w:rPr>
                <w:rFonts w:asciiTheme="minorHAnsi" w:hAnsiTheme="minorHAnsi"/>
                <w:szCs w:val="22"/>
              </w:rPr>
              <w:t>Osney</w:t>
            </w:r>
            <w:proofErr w:type="spellEnd"/>
            <w:r w:rsidRPr="00292336">
              <w:rPr>
                <w:rFonts w:asciiTheme="minorHAnsi" w:hAnsiTheme="minorHAnsi"/>
                <w:szCs w:val="22"/>
              </w:rPr>
              <w:t xml:space="preserve"> Lane Oxford Oxfordshire OX1 1TB</w:t>
            </w:r>
          </w:p>
        </w:tc>
        <w:tc>
          <w:tcPr>
            <w:tcW w:w="2426" w:type="dxa"/>
          </w:tcPr>
          <w:p w:rsidR="00126779" w:rsidRPr="00292336" w:rsidRDefault="00126779" w:rsidP="00126779">
            <w:pPr>
              <w:rPr>
                <w:rFonts w:asciiTheme="minorHAnsi" w:hAnsiTheme="minorHAnsi"/>
                <w:szCs w:val="22"/>
                <w:lang w:val="en"/>
              </w:rPr>
            </w:pPr>
            <w:r w:rsidRPr="00292336">
              <w:rPr>
                <w:rFonts w:asciiTheme="minorHAnsi" w:hAnsiTheme="minorHAnsi"/>
                <w:szCs w:val="22"/>
              </w:rPr>
              <w:t>Demolition of units 1-15 Oxford Business Centre and redevelopment including erection of purpose built student accommodation with small-scale A1, A3, A4 and B1 units, with associated landscaping.</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20% (Solar PV panels, Micro  CHP)</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16/02745/CT3, </w:t>
            </w:r>
            <w:proofErr w:type="spellStart"/>
            <w:r w:rsidRPr="00292336">
              <w:rPr>
                <w:rFonts w:asciiTheme="minorHAnsi" w:hAnsiTheme="minorHAnsi"/>
                <w:szCs w:val="22"/>
              </w:rPr>
              <w:t>Seacourt</w:t>
            </w:r>
            <w:proofErr w:type="spellEnd"/>
            <w:r w:rsidRPr="00292336">
              <w:rPr>
                <w:rFonts w:asciiTheme="minorHAnsi" w:hAnsiTheme="minorHAnsi"/>
                <w:szCs w:val="22"/>
              </w:rPr>
              <w:t xml:space="preserve"> Park and Ride, </w:t>
            </w:r>
            <w:proofErr w:type="spellStart"/>
            <w:r w:rsidRPr="00292336">
              <w:rPr>
                <w:rFonts w:asciiTheme="minorHAnsi" w:hAnsiTheme="minorHAnsi"/>
                <w:szCs w:val="22"/>
              </w:rPr>
              <w:t>Botley</w:t>
            </w:r>
            <w:proofErr w:type="spellEnd"/>
            <w:r w:rsidRPr="00292336">
              <w:rPr>
                <w:rFonts w:asciiTheme="minorHAnsi" w:hAnsiTheme="minorHAnsi"/>
                <w:szCs w:val="22"/>
              </w:rPr>
              <w:t xml:space="preserve"> Road</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Extension to the existing </w:t>
            </w:r>
            <w:proofErr w:type="spellStart"/>
            <w:r w:rsidRPr="00292336">
              <w:rPr>
                <w:rFonts w:asciiTheme="minorHAnsi" w:hAnsiTheme="minorHAnsi"/>
                <w:szCs w:val="22"/>
              </w:rPr>
              <w:t>Seacourt</w:t>
            </w:r>
            <w:proofErr w:type="spellEnd"/>
            <w:r w:rsidRPr="00292336">
              <w:rPr>
                <w:rFonts w:asciiTheme="minorHAnsi" w:hAnsiTheme="minorHAnsi"/>
                <w:szCs w:val="22"/>
              </w:rPr>
              <w:t xml:space="preserve"> Park and Ride with associated layout and landscaping works</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16/02689/FUL, </w:t>
            </w:r>
            <w:proofErr w:type="spellStart"/>
            <w:r w:rsidRPr="00292336">
              <w:rPr>
                <w:rFonts w:asciiTheme="minorHAnsi" w:hAnsiTheme="minorHAnsi"/>
                <w:szCs w:val="22"/>
              </w:rPr>
              <w:t>Unither</w:t>
            </w:r>
            <w:proofErr w:type="spellEnd"/>
            <w:r w:rsidRPr="00292336">
              <w:rPr>
                <w:rFonts w:asciiTheme="minorHAnsi" w:hAnsiTheme="minorHAnsi"/>
                <w:szCs w:val="22"/>
              </w:rPr>
              <w:t xml:space="preserve"> House 15 Paradise Street Oxford OX1 1LD</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rPr>
              <w:t>Demolition of existing building and construction of new hotel building (use class C1), with associated vehicle and cycle parking, landscaping, plant and engineering works</w:t>
            </w:r>
            <w:proofErr w:type="gramStart"/>
            <w:r w:rsidRPr="00292336">
              <w:rPr>
                <w:rFonts w:asciiTheme="minorHAnsi" w:hAnsiTheme="minorHAnsi"/>
                <w:szCs w:val="22"/>
              </w:rPr>
              <w:t>.(</w:t>
            </w:r>
            <w:proofErr w:type="gramEnd"/>
            <w:r w:rsidRPr="00292336">
              <w:rPr>
                <w:rFonts w:asciiTheme="minorHAnsi" w:hAnsiTheme="minorHAnsi"/>
                <w:szCs w:val="22"/>
              </w:rPr>
              <w:t>Amended plans)(Amended information).</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6</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21% (Combined heat and power)</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16/02687/FUL, 265 - 279 </w:t>
            </w:r>
            <w:proofErr w:type="spellStart"/>
            <w:r w:rsidRPr="00292336">
              <w:rPr>
                <w:rFonts w:asciiTheme="minorHAnsi" w:hAnsiTheme="minorHAnsi"/>
                <w:szCs w:val="22"/>
              </w:rPr>
              <w:t>Iffley</w:t>
            </w:r>
            <w:proofErr w:type="spellEnd"/>
            <w:r w:rsidRPr="00292336">
              <w:rPr>
                <w:rFonts w:asciiTheme="minorHAnsi" w:hAnsiTheme="minorHAnsi"/>
                <w:szCs w:val="22"/>
              </w:rPr>
              <w:t xml:space="preserve"> Road And Garages Percy Street Oxford Oxfordshire OX4 4AH</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rPr>
              <w:t>Re-development of the application site to include the demolition of existing buildings, erection of buildings to provide student accommodation (117 student rooms) and ancillary facilities, 11 x self-contained flats, a single storey garden room accommodating flexible space for use as student common room/teaching/lecturing space, 150sqm GIA for employment uses (Use Class B1), and associated landscaping and infrastructure. (Amended plans)</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26% (Combined heat and power)</w:t>
            </w:r>
          </w:p>
        </w:tc>
      </w:tr>
      <w:tr w:rsidR="00126779" w:rsidRPr="009E16D0" w:rsidTr="00126779">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16/01752/FUL, Land At </w:t>
            </w:r>
            <w:r w:rsidRPr="00292336">
              <w:rPr>
                <w:rFonts w:asciiTheme="minorHAnsi" w:hAnsiTheme="minorHAnsi"/>
                <w:szCs w:val="22"/>
              </w:rPr>
              <w:lastRenderedPageBreak/>
              <w:t>Swan Motor Centre And To The East Between Towns Road Oxford Oxfordshire OX4 3LX</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rPr>
              <w:lastRenderedPageBreak/>
              <w:t xml:space="preserve">Redevelopment of site </w:t>
            </w:r>
            <w:r w:rsidRPr="00292336">
              <w:rPr>
                <w:rFonts w:asciiTheme="minorHAnsi" w:hAnsiTheme="minorHAnsi"/>
                <w:szCs w:val="22"/>
              </w:rPr>
              <w:lastRenderedPageBreak/>
              <w:t>to provide purpose built managed student accommodation comprising 144 study rooms, provision for one commercial unit, and provision of an on-site management suite, together with associated landscaping and infrastructure (amended plans).</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lastRenderedPageBreak/>
              <w:t>10</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 xml:space="preserve">40% (Combined heat </w:t>
            </w:r>
            <w:r w:rsidRPr="00292336">
              <w:rPr>
                <w:rFonts w:asciiTheme="minorHAnsi" w:hAnsiTheme="minorHAnsi"/>
                <w:szCs w:val="22"/>
              </w:rPr>
              <w:lastRenderedPageBreak/>
              <w:t>and power, air source heat pumps)</w:t>
            </w:r>
          </w:p>
        </w:tc>
      </w:tr>
      <w:tr w:rsidR="00126779" w:rsidRPr="009E16D0" w:rsidTr="00126779">
        <w:trPr>
          <w:trHeight w:val="2064"/>
        </w:trPr>
        <w:tc>
          <w:tcPr>
            <w:tcW w:w="2290" w:type="dxa"/>
          </w:tcPr>
          <w:p w:rsidR="00126779" w:rsidRPr="00292336" w:rsidRDefault="00126779" w:rsidP="00126779">
            <w:pPr>
              <w:rPr>
                <w:rFonts w:asciiTheme="minorHAnsi" w:hAnsiTheme="minorHAnsi"/>
                <w:szCs w:val="22"/>
              </w:rPr>
            </w:pPr>
            <w:r w:rsidRPr="00292336">
              <w:rPr>
                <w:rFonts w:asciiTheme="minorHAnsi" w:hAnsiTheme="minorHAnsi"/>
                <w:szCs w:val="22"/>
              </w:rPr>
              <w:lastRenderedPageBreak/>
              <w:t xml:space="preserve">16/01225/FUL, Temple </w:t>
            </w:r>
            <w:proofErr w:type="spellStart"/>
            <w:r w:rsidRPr="00292336">
              <w:rPr>
                <w:rFonts w:asciiTheme="minorHAnsi" w:hAnsiTheme="minorHAnsi"/>
                <w:szCs w:val="22"/>
              </w:rPr>
              <w:t>Cowley</w:t>
            </w:r>
            <w:proofErr w:type="spellEnd"/>
            <w:r w:rsidRPr="00292336">
              <w:rPr>
                <w:rFonts w:asciiTheme="minorHAnsi" w:hAnsiTheme="minorHAnsi"/>
                <w:szCs w:val="22"/>
              </w:rPr>
              <w:t xml:space="preserve"> Pools Temple Road Oxford Oxfordshire OX4 2EZ</w:t>
            </w:r>
          </w:p>
        </w:tc>
        <w:tc>
          <w:tcPr>
            <w:tcW w:w="2426" w:type="dxa"/>
          </w:tcPr>
          <w:p w:rsidR="00126779" w:rsidRPr="00292336" w:rsidRDefault="00126779" w:rsidP="00126779">
            <w:pPr>
              <w:rPr>
                <w:rFonts w:asciiTheme="minorHAnsi" w:hAnsiTheme="minorHAnsi"/>
                <w:szCs w:val="22"/>
              </w:rPr>
            </w:pPr>
            <w:r w:rsidRPr="00292336">
              <w:rPr>
                <w:rFonts w:asciiTheme="minorHAnsi" w:hAnsiTheme="minorHAnsi"/>
                <w:szCs w:val="22"/>
              </w:rPr>
              <w:t>Erection of 48 dwellings with associated car parking, landscaping, open space and access. (Amended plans for Block 'C' only, additional information relating to Archaeology and Drainage).</w:t>
            </w:r>
          </w:p>
        </w:tc>
        <w:tc>
          <w:tcPr>
            <w:tcW w:w="2259" w:type="dxa"/>
          </w:tcPr>
          <w:p w:rsidR="00126779" w:rsidRPr="00292336" w:rsidRDefault="00126779" w:rsidP="00126779">
            <w:pPr>
              <w:rPr>
                <w:rFonts w:asciiTheme="minorHAnsi" w:hAnsiTheme="minorHAnsi"/>
                <w:szCs w:val="22"/>
              </w:rPr>
            </w:pPr>
            <w:r w:rsidRPr="00292336">
              <w:rPr>
                <w:rFonts w:asciiTheme="minorHAnsi" w:hAnsiTheme="minorHAnsi"/>
                <w:szCs w:val="22"/>
              </w:rPr>
              <w:t>N/A</w:t>
            </w:r>
          </w:p>
        </w:tc>
        <w:tc>
          <w:tcPr>
            <w:tcW w:w="2267" w:type="dxa"/>
          </w:tcPr>
          <w:p w:rsidR="00126779" w:rsidRPr="00292336" w:rsidRDefault="00126779" w:rsidP="00126779">
            <w:pPr>
              <w:rPr>
                <w:rFonts w:asciiTheme="minorHAnsi" w:hAnsiTheme="minorHAnsi"/>
                <w:szCs w:val="22"/>
              </w:rPr>
            </w:pPr>
            <w:r w:rsidRPr="00292336">
              <w:rPr>
                <w:rFonts w:asciiTheme="minorHAnsi" w:hAnsiTheme="minorHAnsi"/>
                <w:szCs w:val="22"/>
              </w:rPr>
              <w:t>20% (Solar PV panels)</w:t>
            </w:r>
          </w:p>
        </w:tc>
      </w:tr>
    </w:tbl>
    <w:p w:rsidR="00126779" w:rsidRPr="00ED615C" w:rsidRDefault="00126779" w:rsidP="00126779">
      <w:pPr>
        <w:rPr>
          <w:rFonts w:asciiTheme="minorHAnsi" w:hAnsiTheme="minorHAnsi"/>
          <w:szCs w:val="22"/>
        </w:rPr>
      </w:pPr>
      <w:r w:rsidRPr="00ED615C">
        <w:rPr>
          <w:rFonts w:asciiTheme="minorHAnsi" w:hAnsiTheme="minorHAnsi"/>
          <w:szCs w:val="22"/>
        </w:rPr>
        <w:t>Ta</w:t>
      </w:r>
      <w:r w:rsidR="00F47862" w:rsidRPr="00ED615C">
        <w:rPr>
          <w:rFonts w:asciiTheme="minorHAnsi" w:hAnsiTheme="minorHAnsi"/>
          <w:szCs w:val="22"/>
        </w:rPr>
        <w:t>ble 23</w:t>
      </w:r>
      <w:r w:rsidRPr="00ED615C">
        <w:rPr>
          <w:rFonts w:asciiTheme="minorHAnsi" w:hAnsiTheme="minorHAnsi"/>
          <w:szCs w:val="22"/>
        </w:rPr>
        <w:t>: Qualifying developments compliance with NRIA requirements (permissions) 2017/18 (July 2018)</w:t>
      </w:r>
    </w:p>
    <w:p w:rsidR="00126779" w:rsidRPr="00ED615C" w:rsidRDefault="00292336" w:rsidP="00126779">
      <w:pPr>
        <w:rPr>
          <w:rFonts w:asciiTheme="minorHAnsi" w:hAnsiTheme="minorHAnsi"/>
        </w:rPr>
      </w:pPr>
      <w:r w:rsidRPr="00ED615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702272" behindDoc="1" locked="0" layoutInCell="1" allowOverlap="1" wp14:anchorId="2A419467" wp14:editId="30E703AB">
                <wp:simplePos x="0" y="0"/>
                <wp:positionH relativeFrom="column">
                  <wp:posOffset>-5715</wp:posOffset>
                </wp:positionH>
                <wp:positionV relativeFrom="paragraph">
                  <wp:posOffset>133350</wp:posOffset>
                </wp:positionV>
                <wp:extent cx="5885180" cy="1654810"/>
                <wp:effectExtent l="0" t="0" r="1270" b="2540"/>
                <wp:wrapNone/>
                <wp:docPr id="68" name="Rectangle 68"/>
                <wp:cNvGraphicFramePr/>
                <a:graphic xmlns:a="http://schemas.openxmlformats.org/drawingml/2006/main">
                  <a:graphicData uri="http://schemas.microsoft.com/office/word/2010/wordprocessingShape">
                    <wps:wsp>
                      <wps:cNvSpPr/>
                      <wps:spPr>
                        <a:xfrm>
                          <a:off x="0" y="0"/>
                          <a:ext cx="5885180" cy="165481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38A4F9" id="Rectangle 68" o:spid="_x0000_s1026" style="position:absolute;margin-left:-.45pt;margin-top:10.5pt;width:463.4pt;height:130.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" fillcolor="#c3d69b" stroked="f" strokeweight="2pt"/>
            </w:pict>
          </mc:Fallback>
        </mc:AlternateContent>
      </w:r>
    </w:p>
    <w:p w:rsidR="00126779" w:rsidRPr="00ED615C" w:rsidRDefault="00F97D78" w:rsidP="00F97D78">
      <w:pPr>
        <w:pStyle w:val="Heading2"/>
      </w:pPr>
      <w:bookmarkStart w:id="35" w:name="_Toc529178365"/>
      <w:r w:rsidRPr="00ED615C">
        <w:t>INDICATOR 27: DEVELOPMENT IN THE GREEN BELT</w:t>
      </w:r>
      <w:bookmarkEnd w:id="35"/>
    </w:p>
    <w:p w:rsidR="00500DD3" w:rsidRPr="00ED615C" w:rsidRDefault="00126779" w:rsidP="00126779">
      <w:pPr>
        <w:rPr>
          <w:sz w:val="18"/>
          <w:szCs w:val="20"/>
        </w:rPr>
      </w:pPr>
      <w:r w:rsidRPr="00ED615C">
        <w:rPr>
          <w:b/>
          <w:bCs/>
          <w:sz w:val="20"/>
          <w:szCs w:val="22"/>
        </w:rPr>
        <w:t xml:space="preserve">Target: No inappropriate development in the Green Belt unless specifically allocated in Oxford’s Local Plan </w:t>
      </w:r>
      <w:r w:rsidRPr="00ED615C">
        <w:rPr>
          <w:sz w:val="18"/>
          <w:szCs w:val="20"/>
        </w:rPr>
        <w:t>(Oxford Core Strategy Policy CS4)</w:t>
      </w:r>
    </w:p>
    <w:p w:rsidR="00292336" w:rsidRPr="00ED615C" w:rsidRDefault="00292336" w:rsidP="00126779">
      <w:pPr>
        <w:rPr>
          <w:sz w:val="18"/>
          <w:szCs w:val="20"/>
        </w:rPr>
      </w:pPr>
      <w:r w:rsidRPr="00ED615C">
        <w:rPr>
          <w:rFonts w:asciiTheme="minorHAnsi" w:eastAsia="Calibri" w:hAnsiTheme="minorHAnsi" w:cs="Calibri"/>
          <w:noProof/>
          <w:color w:val="244061" w:themeColor="accent1" w:themeShade="80"/>
          <w:sz w:val="8"/>
          <w:szCs w:val="22"/>
          <w:lang w:eastAsia="en-GB"/>
        </w:rPr>
        <w:t xml:space="preserve"> </w:t>
      </w: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ED615C" w:rsidTr="00292336">
        <w:trPr>
          <w:trHeight w:val="218"/>
        </w:trPr>
        <w:tc>
          <w:tcPr>
            <w:tcW w:w="5420" w:type="dxa"/>
          </w:tcPr>
          <w:p w:rsidR="00292336" w:rsidRPr="00ED615C" w:rsidRDefault="00292336" w:rsidP="00292336">
            <w:pPr>
              <w:autoSpaceDE w:val="0"/>
              <w:autoSpaceDN w:val="0"/>
              <w:adjustRightInd w:val="0"/>
              <w:ind w:left="-108"/>
              <w:rPr>
                <w:rFonts w:ascii="Arial" w:hAnsi="Arial"/>
                <w:b/>
                <w:noProof/>
                <w:color w:val="632423" w:themeColor="accent2" w:themeShade="80"/>
                <w:szCs w:val="22"/>
              </w:rPr>
            </w:pPr>
            <w:r w:rsidRPr="00ED615C">
              <w:rPr>
                <w:rFonts w:cs="Calibri"/>
                <w:b/>
                <w:color w:val="632423" w:themeColor="accent2" w:themeShade="80"/>
                <w:szCs w:val="22"/>
              </w:rPr>
              <w:t>Performance against target 2017/18:</w:t>
            </w:r>
          </w:p>
        </w:tc>
        <w:tc>
          <w:tcPr>
            <w:tcW w:w="3714" w:type="dxa"/>
            <w:gridSpan w:val="2"/>
          </w:tcPr>
          <w:p w:rsidR="00292336" w:rsidRPr="00ED615C" w:rsidRDefault="00292336" w:rsidP="00292336">
            <w:pPr>
              <w:autoSpaceDE w:val="0"/>
              <w:autoSpaceDN w:val="0"/>
              <w:adjustRightInd w:val="0"/>
              <w:rPr>
                <w:rFonts w:cs="Calibri"/>
                <w:b/>
                <w:color w:val="632423" w:themeColor="accent2" w:themeShade="80"/>
                <w:szCs w:val="22"/>
              </w:rPr>
            </w:pPr>
            <w:r w:rsidRPr="00ED615C">
              <w:rPr>
                <w:rFonts w:cs="Calibri"/>
                <w:b/>
                <w:color w:val="632423" w:themeColor="accent2" w:themeShade="80"/>
                <w:szCs w:val="22"/>
              </w:rPr>
              <w:t>Performance in previous two years:</w:t>
            </w:r>
          </w:p>
        </w:tc>
      </w:tr>
      <w:tr w:rsidR="00292336" w:rsidRPr="00ED615C" w:rsidTr="00292336">
        <w:tc>
          <w:tcPr>
            <w:tcW w:w="5420" w:type="dxa"/>
            <w:vMerge w:val="restart"/>
          </w:tcPr>
          <w:p w:rsidR="00292336" w:rsidRPr="00ED615C" w:rsidRDefault="00292336" w:rsidP="00292336">
            <w:pPr>
              <w:autoSpaceDE w:val="0"/>
              <w:autoSpaceDN w:val="0"/>
              <w:adjustRightInd w:val="0"/>
              <w:jc w:val="center"/>
              <w:rPr>
                <w:rFonts w:cs="Calibri"/>
                <w:b/>
                <w:color w:val="632423" w:themeColor="accent2" w:themeShade="80"/>
                <w:sz w:val="6"/>
                <w:szCs w:val="6"/>
              </w:rPr>
            </w:pPr>
          </w:p>
          <w:p w:rsidR="00292336" w:rsidRPr="00ED615C" w:rsidRDefault="00292336" w:rsidP="00292336">
            <w:pPr>
              <w:autoSpaceDE w:val="0"/>
              <w:autoSpaceDN w:val="0"/>
              <w:adjustRightInd w:val="0"/>
              <w:jc w:val="center"/>
              <w:rPr>
                <w:rFonts w:cs="Calibri"/>
                <w:b/>
                <w:color w:val="632423" w:themeColor="accent2" w:themeShade="80"/>
                <w:szCs w:val="22"/>
              </w:rPr>
            </w:pPr>
            <w:r w:rsidRPr="00ED615C">
              <w:rPr>
                <w:b/>
                <w:noProof/>
                <w:color w:val="3F4F21"/>
                <w:sz w:val="32"/>
                <w:szCs w:val="32"/>
                <w:lang w:eastAsia="en-GB"/>
              </w:rPr>
              <w:drawing>
                <wp:inline distT="0" distB="0" distL="0" distR="0" wp14:anchorId="29847F34" wp14:editId="5B10BDB0">
                  <wp:extent cx="1388853" cy="418201"/>
                  <wp:effectExtent l="0" t="0" r="1905" b="1270"/>
                  <wp:docPr id="69" name="Picture 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92336" w:rsidRPr="00ED615C" w:rsidRDefault="00292336" w:rsidP="00292336">
            <w:pPr>
              <w:autoSpaceDE w:val="0"/>
              <w:autoSpaceDN w:val="0"/>
              <w:adjustRightInd w:val="0"/>
              <w:jc w:val="center"/>
              <w:rPr>
                <w:rFonts w:cs="Calibri"/>
                <w:b/>
                <w:color w:val="632423" w:themeColor="accent2" w:themeShade="80"/>
                <w:szCs w:val="22"/>
              </w:rPr>
            </w:pPr>
          </w:p>
          <w:p w:rsidR="00292336" w:rsidRPr="00ED615C" w:rsidRDefault="00292336" w:rsidP="00292336">
            <w:pPr>
              <w:autoSpaceDE w:val="0"/>
              <w:autoSpaceDN w:val="0"/>
              <w:adjustRightInd w:val="0"/>
              <w:jc w:val="center"/>
              <w:rPr>
                <w:rFonts w:cs="Calibri"/>
                <w:b/>
                <w:color w:val="632423" w:themeColor="accent2" w:themeShade="80"/>
                <w:sz w:val="14"/>
                <w:szCs w:val="22"/>
              </w:rPr>
            </w:pPr>
          </w:p>
        </w:tc>
        <w:tc>
          <w:tcPr>
            <w:tcW w:w="1101" w:type="dxa"/>
          </w:tcPr>
          <w:p w:rsidR="00292336" w:rsidRPr="00ED615C" w:rsidRDefault="00292336" w:rsidP="00292336">
            <w:pPr>
              <w:autoSpaceDE w:val="0"/>
              <w:autoSpaceDN w:val="0"/>
              <w:adjustRightInd w:val="0"/>
              <w:rPr>
                <w:rFonts w:cs="Calibri"/>
                <w:b/>
                <w:color w:val="632423" w:themeColor="accent2" w:themeShade="80"/>
                <w:szCs w:val="22"/>
              </w:rPr>
            </w:pPr>
            <w:r w:rsidRPr="00ED615C">
              <w:rPr>
                <w:rFonts w:cs="Calibri"/>
                <w:b/>
                <w:color w:val="632423" w:themeColor="accent2" w:themeShade="80"/>
                <w:szCs w:val="22"/>
              </w:rPr>
              <w:t>2016/17:</w:t>
            </w:r>
          </w:p>
        </w:tc>
        <w:tc>
          <w:tcPr>
            <w:tcW w:w="2613" w:type="dxa"/>
          </w:tcPr>
          <w:p w:rsidR="00292336" w:rsidRPr="00ED615C" w:rsidRDefault="00292336" w:rsidP="00292336">
            <w:pPr>
              <w:autoSpaceDE w:val="0"/>
              <w:autoSpaceDN w:val="0"/>
              <w:adjustRightInd w:val="0"/>
              <w:rPr>
                <w:rFonts w:cs="Calibri"/>
                <w:b/>
                <w:color w:val="632423" w:themeColor="accent2" w:themeShade="80"/>
                <w:sz w:val="24"/>
              </w:rPr>
            </w:pPr>
            <w:r w:rsidRPr="00ED615C">
              <w:rPr>
                <w:b/>
                <w:noProof/>
                <w:sz w:val="32"/>
                <w:szCs w:val="32"/>
                <w:lang w:eastAsia="en-GB"/>
              </w:rPr>
              <w:drawing>
                <wp:inline distT="0" distB="0" distL="0" distR="0" wp14:anchorId="2C49F3F0" wp14:editId="2C20005A">
                  <wp:extent cx="819150" cy="256182"/>
                  <wp:effectExtent l="0" t="0" r="0" b="0"/>
                  <wp:docPr id="71" name="Picture 7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92336" w:rsidRPr="00ED615C" w:rsidRDefault="00292336" w:rsidP="00292336">
            <w:pPr>
              <w:autoSpaceDE w:val="0"/>
              <w:autoSpaceDN w:val="0"/>
              <w:adjustRightInd w:val="0"/>
              <w:jc w:val="center"/>
              <w:rPr>
                <w:rFonts w:cs="Calibri"/>
                <w:b/>
                <w:color w:val="632423" w:themeColor="accent2" w:themeShade="80"/>
                <w:sz w:val="8"/>
                <w:szCs w:val="8"/>
              </w:rPr>
            </w:pPr>
          </w:p>
        </w:tc>
      </w:tr>
      <w:tr w:rsidR="00292336" w:rsidRPr="00ED615C" w:rsidTr="00292336">
        <w:tc>
          <w:tcPr>
            <w:tcW w:w="5420" w:type="dxa"/>
            <w:vMerge/>
          </w:tcPr>
          <w:p w:rsidR="00292336" w:rsidRPr="00ED615C" w:rsidRDefault="00292336" w:rsidP="00292336">
            <w:pPr>
              <w:autoSpaceDE w:val="0"/>
              <w:autoSpaceDN w:val="0"/>
              <w:adjustRightInd w:val="0"/>
              <w:jc w:val="center"/>
              <w:rPr>
                <w:rFonts w:cs="Calibri"/>
                <w:b/>
                <w:color w:val="632423" w:themeColor="accent2" w:themeShade="80"/>
                <w:szCs w:val="22"/>
              </w:rPr>
            </w:pPr>
          </w:p>
        </w:tc>
        <w:tc>
          <w:tcPr>
            <w:tcW w:w="1101" w:type="dxa"/>
          </w:tcPr>
          <w:p w:rsidR="00292336" w:rsidRPr="00ED615C" w:rsidRDefault="00292336" w:rsidP="00292336">
            <w:pPr>
              <w:autoSpaceDE w:val="0"/>
              <w:autoSpaceDN w:val="0"/>
              <w:adjustRightInd w:val="0"/>
              <w:rPr>
                <w:rFonts w:cs="Calibri"/>
                <w:b/>
                <w:color w:val="632423" w:themeColor="accent2" w:themeShade="80"/>
                <w:szCs w:val="22"/>
              </w:rPr>
            </w:pPr>
            <w:r w:rsidRPr="00ED615C">
              <w:rPr>
                <w:rFonts w:cs="Calibri"/>
                <w:b/>
                <w:color w:val="632423" w:themeColor="accent2" w:themeShade="80"/>
                <w:szCs w:val="22"/>
              </w:rPr>
              <w:t>2015/16:</w:t>
            </w:r>
          </w:p>
        </w:tc>
        <w:tc>
          <w:tcPr>
            <w:tcW w:w="2613" w:type="dxa"/>
          </w:tcPr>
          <w:p w:rsidR="00292336" w:rsidRPr="00ED615C" w:rsidRDefault="00292336" w:rsidP="00292336">
            <w:pPr>
              <w:autoSpaceDE w:val="0"/>
              <w:autoSpaceDN w:val="0"/>
              <w:adjustRightInd w:val="0"/>
              <w:rPr>
                <w:rFonts w:cs="Calibri"/>
                <w:b/>
                <w:color w:val="632423" w:themeColor="accent2" w:themeShade="80"/>
                <w:sz w:val="24"/>
              </w:rPr>
            </w:pPr>
            <w:r w:rsidRPr="00ED615C">
              <w:rPr>
                <w:b/>
                <w:noProof/>
                <w:sz w:val="32"/>
                <w:szCs w:val="32"/>
                <w:lang w:eastAsia="en-GB"/>
              </w:rPr>
              <w:drawing>
                <wp:inline distT="0" distB="0" distL="0" distR="0" wp14:anchorId="62BA3F14" wp14:editId="1E12DFEC">
                  <wp:extent cx="819150" cy="256182"/>
                  <wp:effectExtent l="0" t="0" r="0" b="0"/>
                  <wp:docPr id="74" name="Picture 7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92336" w:rsidRPr="00ED615C" w:rsidRDefault="00292336" w:rsidP="00126779">
      <w:pPr>
        <w:rPr>
          <w:rFonts w:asciiTheme="minorHAnsi" w:hAnsiTheme="minorHAnsi"/>
        </w:rPr>
      </w:pPr>
    </w:p>
    <w:p w:rsidR="00126779" w:rsidRPr="00ED615C" w:rsidRDefault="00126779" w:rsidP="00126779">
      <w:pPr>
        <w:autoSpaceDE w:val="0"/>
        <w:autoSpaceDN w:val="0"/>
        <w:adjustRightInd w:val="0"/>
        <w:spacing w:after="255"/>
        <w:rPr>
          <w:rFonts w:cs="Calibri"/>
          <w:szCs w:val="22"/>
        </w:rPr>
      </w:pPr>
      <w:r w:rsidRPr="00ED615C">
        <w:rPr>
          <w:rFonts w:cs="Calibri"/>
          <w:szCs w:val="22"/>
        </w:rPr>
        <w:t xml:space="preserve">5.8 Green Belt is a policy designation that aims to prevent urban sprawl by keeping land surrounding urban areas open and undeveloped. Green Belt boundaries should only be altered in exceptional circumstances, through the preparation or review of the Local Plan. </w:t>
      </w:r>
    </w:p>
    <w:p w:rsidR="00126779" w:rsidRPr="00D0457F" w:rsidRDefault="00126779" w:rsidP="00126779">
      <w:pPr>
        <w:autoSpaceDE w:val="0"/>
        <w:autoSpaceDN w:val="0"/>
        <w:adjustRightInd w:val="0"/>
        <w:rPr>
          <w:rFonts w:cs="Calibri"/>
          <w:szCs w:val="22"/>
        </w:rPr>
      </w:pPr>
      <w:r w:rsidRPr="00ED615C">
        <w:rPr>
          <w:rFonts w:cs="Calibri"/>
          <w:szCs w:val="22"/>
        </w:rPr>
        <w:t xml:space="preserve">5.9 </w:t>
      </w:r>
      <w:r w:rsidR="00F47862" w:rsidRPr="00ED615C">
        <w:rPr>
          <w:rFonts w:cs="Calibri"/>
          <w:szCs w:val="22"/>
        </w:rPr>
        <w:t>Table 24</w:t>
      </w:r>
      <w:r w:rsidRPr="00ED615C">
        <w:rPr>
          <w:rFonts w:cs="Calibri"/>
          <w:szCs w:val="22"/>
        </w:rPr>
        <w:t xml:space="preserve"> provides details of planning permissions granted for development in the Green Belt within the city boundary</w:t>
      </w:r>
      <w:r w:rsidRPr="00D0457F">
        <w:rPr>
          <w:rFonts w:cs="Calibri"/>
          <w:szCs w:val="22"/>
        </w:rPr>
        <w:t xml:space="preserve"> during the monitoring year. All applications were considered against Green Belt policies set out in the National Planning Policy Framework and Core Strategy.   No inappropriate development was permitted during 2017/18. </w:t>
      </w:r>
    </w:p>
    <w:p w:rsidR="00126779" w:rsidRDefault="00126779" w:rsidP="00126779">
      <w:pPr>
        <w:autoSpaceDE w:val="0"/>
        <w:autoSpaceDN w:val="0"/>
        <w:adjustRightInd w:val="0"/>
        <w:rPr>
          <w:rFonts w:cs="Calibri"/>
          <w:color w:val="FF0000"/>
          <w:szCs w:val="22"/>
        </w:rPr>
      </w:pPr>
    </w:p>
    <w:tbl>
      <w:tblPr>
        <w:tblStyle w:val="TableGrid"/>
        <w:tblW w:w="0" w:type="auto"/>
        <w:tblLook w:val="04A0" w:firstRow="1" w:lastRow="0" w:firstColumn="1" w:lastColumn="0" w:noHBand="0" w:noVBand="1"/>
      </w:tblPr>
      <w:tblGrid>
        <w:gridCol w:w="2310"/>
        <w:gridCol w:w="2310"/>
        <w:gridCol w:w="2311"/>
        <w:gridCol w:w="2311"/>
      </w:tblGrid>
      <w:tr w:rsidR="00126779" w:rsidRPr="008D3AD3" w:rsidTr="00292336">
        <w:tc>
          <w:tcPr>
            <w:tcW w:w="2310" w:type="dxa"/>
            <w:shd w:val="clear" w:color="auto" w:fill="D6E3BC" w:themeFill="accent3" w:themeFillTint="66"/>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Location</w:t>
            </w:r>
          </w:p>
        </w:tc>
        <w:tc>
          <w:tcPr>
            <w:tcW w:w="2310" w:type="dxa"/>
            <w:shd w:val="clear" w:color="auto" w:fill="D6E3BC" w:themeFill="accent3" w:themeFillTint="66"/>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Application reference</w:t>
            </w:r>
          </w:p>
        </w:tc>
        <w:tc>
          <w:tcPr>
            <w:tcW w:w="2311" w:type="dxa"/>
            <w:shd w:val="clear" w:color="auto" w:fill="D6E3BC" w:themeFill="accent3" w:themeFillTint="66"/>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Development</w:t>
            </w:r>
          </w:p>
        </w:tc>
        <w:tc>
          <w:tcPr>
            <w:tcW w:w="2311" w:type="dxa"/>
            <w:shd w:val="clear" w:color="auto" w:fill="D6E3BC" w:themeFill="accent3" w:themeFillTint="66"/>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Reason for Approval</w:t>
            </w:r>
          </w:p>
        </w:tc>
      </w:tr>
      <w:tr w:rsidR="00126779" w:rsidRPr="008D3AD3" w:rsidTr="00126779">
        <w:tc>
          <w:tcPr>
            <w:tcW w:w="2310" w:type="dxa"/>
          </w:tcPr>
          <w:p w:rsidR="00126779" w:rsidRPr="008D3AD3" w:rsidRDefault="00126779" w:rsidP="00126779">
            <w:pPr>
              <w:autoSpaceDE w:val="0"/>
              <w:autoSpaceDN w:val="0"/>
              <w:adjustRightInd w:val="0"/>
              <w:rPr>
                <w:rFonts w:cs="Calibri"/>
                <w:color w:val="000000"/>
                <w:szCs w:val="22"/>
              </w:rPr>
            </w:pPr>
            <w:proofErr w:type="spellStart"/>
            <w:r w:rsidRPr="000F2D85">
              <w:rPr>
                <w:rFonts w:cs="Calibri"/>
                <w:color w:val="000000"/>
                <w:szCs w:val="22"/>
              </w:rPr>
              <w:t>Wolvercote</w:t>
            </w:r>
            <w:proofErr w:type="spellEnd"/>
            <w:r w:rsidRPr="000F2D85">
              <w:rPr>
                <w:rFonts w:cs="Calibri"/>
                <w:color w:val="000000"/>
                <w:szCs w:val="22"/>
              </w:rPr>
              <w:t xml:space="preserve"> Paper Mill </w:t>
            </w:r>
            <w:proofErr w:type="spellStart"/>
            <w:r w:rsidRPr="000F2D85">
              <w:rPr>
                <w:rFonts w:cs="Calibri"/>
                <w:color w:val="000000"/>
                <w:szCs w:val="22"/>
              </w:rPr>
              <w:t>Mill</w:t>
            </w:r>
            <w:proofErr w:type="spellEnd"/>
            <w:r w:rsidRPr="000F2D85">
              <w:rPr>
                <w:rFonts w:cs="Calibri"/>
                <w:color w:val="000000"/>
                <w:szCs w:val="22"/>
              </w:rPr>
              <w:t xml:space="preserve"> Road Oxford</w:t>
            </w:r>
          </w:p>
        </w:tc>
        <w:tc>
          <w:tcPr>
            <w:tcW w:w="2310" w:type="dxa"/>
          </w:tcPr>
          <w:p w:rsidR="00126779" w:rsidRPr="008D3AD3" w:rsidRDefault="00126779" w:rsidP="00126779">
            <w:pPr>
              <w:autoSpaceDE w:val="0"/>
              <w:autoSpaceDN w:val="0"/>
              <w:adjustRightInd w:val="0"/>
              <w:rPr>
                <w:rFonts w:cs="Calibri"/>
                <w:color w:val="000000"/>
                <w:szCs w:val="22"/>
              </w:rPr>
            </w:pPr>
            <w:r w:rsidRPr="000F2D85">
              <w:rPr>
                <w:rFonts w:cs="Calibri"/>
                <w:color w:val="000000"/>
                <w:szCs w:val="22"/>
              </w:rPr>
              <w:t>13/01861/OUT</w:t>
            </w:r>
          </w:p>
        </w:tc>
        <w:tc>
          <w:tcPr>
            <w:tcW w:w="2311" w:type="dxa"/>
          </w:tcPr>
          <w:p w:rsidR="00126779" w:rsidRPr="008D3AD3" w:rsidRDefault="00126779" w:rsidP="00126779">
            <w:pPr>
              <w:autoSpaceDE w:val="0"/>
              <w:autoSpaceDN w:val="0"/>
              <w:adjustRightInd w:val="0"/>
              <w:rPr>
                <w:rFonts w:asciiTheme="minorHAnsi" w:hAnsiTheme="minorHAnsi"/>
                <w:color w:val="333333"/>
                <w:szCs w:val="22"/>
              </w:rPr>
            </w:pPr>
            <w:r w:rsidRPr="005F23BA">
              <w:rPr>
                <w:rFonts w:asciiTheme="minorHAnsi" w:hAnsiTheme="minorHAnsi"/>
                <w:color w:val="333333"/>
                <w:szCs w:val="22"/>
              </w:rPr>
              <w:t xml:space="preserve">Outline application (seeking means of access) for up to 190 residential units, employment space, community facilities, public open space and </w:t>
            </w:r>
            <w:r w:rsidRPr="005F23BA">
              <w:rPr>
                <w:rFonts w:asciiTheme="minorHAnsi" w:hAnsiTheme="minorHAnsi"/>
                <w:color w:val="333333"/>
                <w:szCs w:val="22"/>
              </w:rPr>
              <w:lastRenderedPageBreak/>
              <w:t xml:space="preserve">ancillary services and </w:t>
            </w:r>
            <w:r w:rsidR="001351EB">
              <w:rPr>
                <w:rFonts w:asciiTheme="minorHAnsi" w:hAnsiTheme="minorHAnsi"/>
                <w:color w:val="333333"/>
                <w:szCs w:val="22"/>
              </w:rPr>
              <w:t>facilities (Amended plans).</w:t>
            </w:r>
          </w:p>
        </w:tc>
        <w:tc>
          <w:tcPr>
            <w:tcW w:w="2311" w:type="dxa"/>
          </w:tcPr>
          <w:p w:rsidR="00126779" w:rsidRPr="008D3AD3" w:rsidRDefault="00126779" w:rsidP="00126779">
            <w:pPr>
              <w:autoSpaceDE w:val="0"/>
              <w:autoSpaceDN w:val="0"/>
              <w:adjustRightInd w:val="0"/>
              <w:rPr>
                <w:rFonts w:cs="Calibri"/>
                <w:color w:val="000000"/>
                <w:szCs w:val="22"/>
              </w:rPr>
            </w:pPr>
            <w:r>
              <w:rPr>
                <w:rFonts w:cs="Calibri"/>
                <w:color w:val="000000"/>
                <w:szCs w:val="22"/>
              </w:rPr>
              <w:lastRenderedPageBreak/>
              <w:t xml:space="preserve">The proposal would make use of previously developed land and has been allocated for housing development.   The vacant buildings on the site detract </w:t>
            </w:r>
            <w:r>
              <w:rPr>
                <w:rFonts w:cs="Calibri"/>
                <w:color w:val="000000"/>
                <w:szCs w:val="22"/>
              </w:rPr>
              <w:lastRenderedPageBreak/>
              <w:t xml:space="preserve">considerably from the appearance of the area and street scene and the future redevelopment will improve the local visual amenity.  </w:t>
            </w:r>
          </w:p>
        </w:tc>
      </w:tr>
      <w:tr w:rsidR="00126779" w:rsidRPr="008D3AD3" w:rsidTr="00126779">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lastRenderedPageBreak/>
              <w:t xml:space="preserve">Merton College </w:t>
            </w:r>
            <w:proofErr w:type="spellStart"/>
            <w:r w:rsidRPr="008D3AD3">
              <w:rPr>
                <w:rFonts w:cs="Calibri"/>
                <w:color w:val="000000"/>
                <w:szCs w:val="22"/>
              </w:rPr>
              <w:t>Spots</w:t>
            </w:r>
            <w:proofErr w:type="spellEnd"/>
            <w:r w:rsidRPr="008D3AD3">
              <w:rPr>
                <w:rFonts w:cs="Calibri"/>
                <w:color w:val="000000"/>
                <w:szCs w:val="22"/>
              </w:rPr>
              <w:t xml:space="preserve"> Pavilion, Manor Road</w:t>
            </w:r>
          </w:p>
        </w:tc>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17/00607/LBC</w:t>
            </w:r>
          </w:p>
        </w:tc>
        <w:tc>
          <w:tcPr>
            <w:tcW w:w="2311" w:type="dxa"/>
          </w:tcPr>
          <w:p w:rsidR="00126779" w:rsidRPr="008D3AD3" w:rsidRDefault="00126779" w:rsidP="00126779">
            <w:pPr>
              <w:autoSpaceDE w:val="0"/>
              <w:autoSpaceDN w:val="0"/>
              <w:adjustRightInd w:val="0"/>
              <w:rPr>
                <w:rFonts w:asciiTheme="minorHAnsi" w:hAnsiTheme="minorHAnsi" w:cs="Calibri"/>
                <w:color w:val="000000"/>
                <w:szCs w:val="22"/>
              </w:rPr>
            </w:pPr>
            <w:r w:rsidRPr="008D3AD3">
              <w:rPr>
                <w:rFonts w:asciiTheme="minorHAnsi" w:hAnsiTheme="minorHAnsi"/>
                <w:color w:val="333333"/>
                <w:szCs w:val="22"/>
              </w:rPr>
              <w:t xml:space="preserve">Internal and external refurbishment works to include clean and repair of building fabric. </w:t>
            </w:r>
          </w:p>
        </w:tc>
        <w:tc>
          <w:tcPr>
            <w:tcW w:w="2311" w:type="dxa"/>
          </w:tcPr>
          <w:p w:rsidR="00126779" w:rsidRDefault="00126779" w:rsidP="00126779">
            <w:pPr>
              <w:autoSpaceDE w:val="0"/>
              <w:autoSpaceDN w:val="0"/>
              <w:adjustRightInd w:val="0"/>
              <w:rPr>
                <w:rFonts w:cs="Calibri"/>
                <w:color w:val="000000"/>
                <w:szCs w:val="22"/>
              </w:rPr>
            </w:pPr>
            <w:r w:rsidRPr="008D3AD3">
              <w:rPr>
                <w:rFonts w:cs="Calibri"/>
                <w:color w:val="000000"/>
                <w:szCs w:val="22"/>
              </w:rPr>
              <w:t>The proposal would accord with the special character, setting and features of special architectural or historic interest of the listed building.</w:t>
            </w:r>
          </w:p>
          <w:p w:rsidR="00126779" w:rsidRPr="008D3AD3" w:rsidRDefault="00126779" w:rsidP="00126779">
            <w:pPr>
              <w:autoSpaceDE w:val="0"/>
              <w:autoSpaceDN w:val="0"/>
              <w:adjustRightInd w:val="0"/>
              <w:rPr>
                <w:rFonts w:cs="Calibri"/>
                <w:szCs w:val="22"/>
              </w:rPr>
            </w:pPr>
          </w:p>
        </w:tc>
      </w:tr>
      <w:tr w:rsidR="00126779" w:rsidRPr="008D3AD3" w:rsidTr="00126779">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 xml:space="preserve">The Perch Public House, </w:t>
            </w:r>
            <w:proofErr w:type="spellStart"/>
            <w:r w:rsidRPr="008D3AD3">
              <w:rPr>
                <w:rFonts w:cs="Calibri"/>
                <w:color w:val="000000"/>
                <w:szCs w:val="22"/>
              </w:rPr>
              <w:t>Binsey</w:t>
            </w:r>
            <w:proofErr w:type="spellEnd"/>
            <w:r w:rsidRPr="008D3AD3">
              <w:rPr>
                <w:rFonts w:cs="Calibri"/>
                <w:color w:val="000000"/>
                <w:szCs w:val="22"/>
              </w:rPr>
              <w:t xml:space="preserve"> Lane</w:t>
            </w:r>
          </w:p>
        </w:tc>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17/01968/FUL</w:t>
            </w:r>
          </w:p>
        </w:tc>
        <w:tc>
          <w:tcPr>
            <w:tcW w:w="2311"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Demolition of garden bar, demolition of agricultural barn, partial demolition of boundary wall and erection of a single storey extension to north elevation and provision of bicycle racks to front elevation.</w:t>
            </w:r>
          </w:p>
        </w:tc>
        <w:tc>
          <w:tcPr>
            <w:tcW w:w="2311" w:type="dxa"/>
          </w:tcPr>
          <w:p w:rsidR="00126779" w:rsidRPr="008D3AD3" w:rsidRDefault="00126779" w:rsidP="00126779">
            <w:pPr>
              <w:autoSpaceDE w:val="0"/>
              <w:autoSpaceDN w:val="0"/>
              <w:adjustRightInd w:val="0"/>
              <w:rPr>
                <w:rFonts w:cs="Calibri"/>
                <w:color w:val="000000"/>
                <w:szCs w:val="22"/>
              </w:rPr>
            </w:pPr>
            <w:r w:rsidRPr="0043330B">
              <w:rPr>
                <w:rFonts w:cs="Calibri"/>
                <w:color w:val="000000"/>
                <w:szCs w:val="22"/>
              </w:rPr>
              <w:t xml:space="preserve">The proposed development would closely relate to both the developed part of </w:t>
            </w:r>
            <w:proofErr w:type="spellStart"/>
            <w:r w:rsidRPr="0043330B">
              <w:rPr>
                <w:rFonts w:cs="Calibri"/>
                <w:color w:val="000000"/>
                <w:szCs w:val="22"/>
              </w:rPr>
              <w:t>Binsey</w:t>
            </w:r>
            <w:proofErr w:type="spellEnd"/>
            <w:r w:rsidRPr="0043330B">
              <w:rPr>
                <w:rFonts w:cs="Calibri"/>
                <w:color w:val="000000"/>
                <w:szCs w:val="22"/>
              </w:rPr>
              <w:t xml:space="preserve"> village and the pub site itself. In fact the overall scale of development proposed would be similar to the existing agricultural building on the site and would therefore not conflict with the aims of the greenbelt in terms of leading to urban sprawl or eroding the open nature of the greenbelt.</w:t>
            </w:r>
          </w:p>
        </w:tc>
      </w:tr>
      <w:tr w:rsidR="00126779" w:rsidRPr="008D3AD3" w:rsidTr="00126779">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 The Cottage, Ferry Road</w:t>
            </w:r>
          </w:p>
        </w:tc>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17/01646/FUL</w:t>
            </w:r>
          </w:p>
        </w:tc>
        <w:tc>
          <w:tcPr>
            <w:tcW w:w="2311"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Demolition of the existing side extension. Erection of a single storey side extension.</w:t>
            </w:r>
          </w:p>
        </w:tc>
        <w:tc>
          <w:tcPr>
            <w:tcW w:w="2311" w:type="dxa"/>
          </w:tcPr>
          <w:p w:rsidR="00126779" w:rsidRPr="008D3AD3" w:rsidRDefault="00126779" w:rsidP="00126779">
            <w:pPr>
              <w:autoSpaceDE w:val="0"/>
              <w:autoSpaceDN w:val="0"/>
              <w:adjustRightInd w:val="0"/>
              <w:rPr>
                <w:rFonts w:asciiTheme="minorHAnsi" w:hAnsiTheme="minorHAnsi"/>
                <w:color w:val="000000"/>
                <w:szCs w:val="22"/>
              </w:rPr>
            </w:pPr>
            <w:r w:rsidRPr="00213D96">
              <w:rPr>
                <w:rFonts w:asciiTheme="minorHAnsi" w:hAnsiTheme="minorHAnsi"/>
                <w:color w:val="000000"/>
                <w:szCs w:val="22"/>
              </w:rPr>
              <w:t xml:space="preserve">The </w:t>
            </w:r>
            <w:r>
              <w:rPr>
                <w:rFonts w:asciiTheme="minorHAnsi" w:hAnsiTheme="minorHAnsi"/>
                <w:color w:val="000000"/>
                <w:szCs w:val="22"/>
              </w:rPr>
              <w:t xml:space="preserve">visual appearance </w:t>
            </w:r>
            <w:r w:rsidRPr="00213D96">
              <w:rPr>
                <w:rFonts w:asciiTheme="minorHAnsi" w:hAnsiTheme="minorHAnsi"/>
                <w:color w:val="000000"/>
                <w:szCs w:val="22"/>
              </w:rPr>
              <w:t xml:space="preserve">of the proposal is considered to be acceptable and would not be harmful to the existing house and surrounding area. </w:t>
            </w:r>
          </w:p>
          <w:p w:rsidR="00126779" w:rsidRPr="008D3AD3" w:rsidRDefault="00126779" w:rsidP="00126779">
            <w:pPr>
              <w:autoSpaceDE w:val="0"/>
              <w:autoSpaceDN w:val="0"/>
              <w:adjustRightInd w:val="0"/>
              <w:rPr>
                <w:rFonts w:asciiTheme="minorHAnsi" w:hAnsiTheme="minorHAnsi"/>
                <w:szCs w:val="22"/>
              </w:rPr>
            </w:pPr>
          </w:p>
          <w:p w:rsidR="00126779" w:rsidRPr="008D3AD3" w:rsidRDefault="00126779" w:rsidP="00126779">
            <w:pPr>
              <w:autoSpaceDE w:val="0"/>
              <w:autoSpaceDN w:val="0"/>
              <w:adjustRightInd w:val="0"/>
              <w:rPr>
                <w:rFonts w:cs="Calibri"/>
                <w:color w:val="000000"/>
                <w:szCs w:val="22"/>
              </w:rPr>
            </w:pPr>
            <w:r w:rsidRPr="008D3AD3">
              <w:rPr>
                <w:rFonts w:asciiTheme="minorHAnsi" w:hAnsiTheme="minorHAnsi" w:cs="Calibri"/>
                <w:color w:val="000000"/>
                <w:szCs w:val="22"/>
              </w:rPr>
              <w:t>The proposal is for a small domestic extension and would be an unobtrusive change to the Green Belt setting.</w:t>
            </w:r>
          </w:p>
        </w:tc>
      </w:tr>
      <w:tr w:rsidR="00126779" w:rsidRPr="008D3AD3" w:rsidTr="00126779">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 xml:space="preserve">The Oak Barn, 80 </w:t>
            </w:r>
            <w:proofErr w:type="spellStart"/>
            <w:r w:rsidRPr="008D3AD3">
              <w:rPr>
                <w:rFonts w:cs="Calibri"/>
                <w:color w:val="000000"/>
                <w:szCs w:val="22"/>
              </w:rPr>
              <w:t>Edgeway</w:t>
            </w:r>
            <w:proofErr w:type="spellEnd"/>
            <w:r w:rsidRPr="008D3AD3">
              <w:rPr>
                <w:rFonts w:cs="Calibri"/>
                <w:color w:val="000000"/>
                <w:szCs w:val="22"/>
              </w:rPr>
              <w:t xml:space="preserve"> Road</w:t>
            </w:r>
          </w:p>
        </w:tc>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17/01225/FUL</w:t>
            </w:r>
          </w:p>
        </w:tc>
        <w:tc>
          <w:tcPr>
            <w:tcW w:w="2311"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Erection of single storey rear extension to form wet room</w:t>
            </w:r>
          </w:p>
        </w:tc>
        <w:tc>
          <w:tcPr>
            <w:tcW w:w="2311"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 xml:space="preserve">The proposal is for a very small domestic extension and would </w:t>
            </w:r>
            <w:r w:rsidRPr="008D3AD3">
              <w:rPr>
                <w:rFonts w:cs="Calibri"/>
                <w:color w:val="000000"/>
                <w:szCs w:val="22"/>
              </w:rPr>
              <w:lastRenderedPageBreak/>
              <w:t>be an unobtrusive change to the Green Belt setting.</w:t>
            </w:r>
          </w:p>
        </w:tc>
      </w:tr>
      <w:tr w:rsidR="00126779" w:rsidRPr="008D3AD3" w:rsidTr="00126779">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lastRenderedPageBreak/>
              <w:t xml:space="preserve">Christ Church Meadow, St. </w:t>
            </w:r>
            <w:proofErr w:type="spellStart"/>
            <w:r w:rsidRPr="008D3AD3">
              <w:rPr>
                <w:rFonts w:cs="Calibri"/>
                <w:color w:val="000000"/>
                <w:szCs w:val="22"/>
              </w:rPr>
              <w:t>Aldate’s</w:t>
            </w:r>
            <w:proofErr w:type="spellEnd"/>
          </w:p>
        </w:tc>
        <w:tc>
          <w:tcPr>
            <w:tcW w:w="2310"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17/02561/FUL</w:t>
            </w:r>
          </w:p>
        </w:tc>
        <w:tc>
          <w:tcPr>
            <w:tcW w:w="2311" w:type="dxa"/>
          </w:tcPr>
          <w:p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Replace the existing low level railings at the entrance to the south west corner of Christ Church Meadow from the existing footbridge over Trill Mill Stream.</w:t>
            </w:r>
          </w:p>
        </w:tc>
        <w:tc>
          <w:tcPr>
            <w:tcW w:w="2311" w:type="dxa"/>
          </w:tcPr>
          <w:p w:rsidR="00126779" w:rsidRPr="008D3AD3" w:rsidRDefault="00126779" w:rsidP="00126779">
            <w:pPr>
              <w:autoSpaceDE w:val="0"/>
              <w:autoSpaceDN w:val="0"/>
              <w:adjustRightInd w:val="0"/>
              <w:rPr>
                <w:rFonts w:asciiTheme="minorHAnsi" w:hAnsiTheme="minorHAnsi"/>
                <w:color w:val="000000"/>
                <w:szCs w:val="22"/>
              </w:rPr>
            </w:pPr>
            <w:r w:rsidRPr="008D3AD3">
              <w:rPr>
                <w:rFonts w:asciiTheme="minorHAnsi" w:hAnsiTheme="minorHAnsi"/>
                <w:color w:val="000000"/>
                <w:szCs w:val="22"/>
              </w:rPr>
              <w:t xml:space="preserve">The proposal, subject to the conditions imposed, would accord with the special character, setting, </w:t>
            </w:r>
            <w:proofErr w:type="gramStart"/>
            <w:r w:rsidRPr="008D3AD3">
              <w:rPr>
                <w:rFonts w:asciiTheme="minorHAnsi" w:hAnsiTheme="minorHAnsi"/>
                <w:color w:val="000000"/>
                <w:szCs w:val="22"/>
              </w:rPr>
              <w:t>features</w:t>
            </w:r>
            <w:proofErr w:type="gramEnd"/>
            <w:r w:rsidRPr="008D3AD3">
              <w:rPr>
                <w:rFonts w:asciiTheme="minorHAnsi" w:hAnsiTheme="minorHAnsi"/>
                <w:color w:val="000000"/>
                <w:szCs w:val="22"/>
              </w:rPr>
              <w:t xml:space="preserve"> of special architectural or historic interest of the listed building.  </w:t>
            </w:r>
          </w:p>
          <w:p w:rsidR="00126779" w:rsidRPr="008D3AD3" w:rsidRDefault="00126779" w:rsidP="00126779">
            <w:pPr>
              <w:autoSpaceDE w:val="0"/>
              <w:autoSpaceDN w:val="0"/>
              <w:adjustRightInd w:val="0"/>
              <w:rPr>
                <w:rFonts w:asciiTheme="minorHAnsi" w:hAnsiTheme="minorHAnsi"/>
                <w:color w:val="000000"/>
                <w:szCs w:val="22"/>
              </w:rPr>
            </w:pPr>
          </w:p>
          <w:p w:rsidR="00126779" w:rsidRPr="008D3AD3" w:rsidRDefault="00126779" w:rsidP="00126779">
            <w:pPr>
              <w:autoSpaceDE w:val="0"/>
              <w:autoSpaceDN w:val="0"/>
              <w:adjustRightInd w:val="0"/>
              <w:rPr>
                <w:rFonts w:cs="Calibri"/>
                <w:color w:val="000000"/>
                <w:szCs w:val="22"/>
              </w:rPr>
            </w:pPr>
            <w:r w:rsidRPr="008D3AD3">
              <w:rPr>
                <w:rFonts w:asciiTheme="minorHAnsi" w:hAnsiTheme="minorHAnsi"/>
                <w:color w:val="000000"/>
                <w:szCs w:val="22"/>
              </w:rPr>
              <w:t>The small scale of the works would be an unobtrusive change to the Green Belt setting.</w:t>
            </w:r>
          </w:p>
        </w:tc>
      </w:tr>
    </w:tbl>
    <w:p w:rsidR="00126779" w:rsidRPr="00EB77DB" w:rsidRDefault="00F47862" w:rsidP="00126779">
      <w:pPr>
        <w:autoSpaceDE w:val="0"/>
        <w:autoSpaceDN w:val="0"/>
        <w:adjustRightInd w:val="0"/>
        <w:rPr>
          <w:rFonts w:asciiTheme="minorHAnsi" w:hAnsiTheme="minorHAnsi" w:cs="Calibri"/>
          <w:color w:val="000000"/>
          <w:szCs w:val="22"/>
        </w:rPr>
      </w:pPr>
      <w:r w:rsidRPr="00ED615C">
        <w:rPr>
          <w:rFonts w:asciiTheme="minorHAnsi" w:hAnsiTheme="minorHAnsi"/>
          <w:b/>
          <w:bCs/>
          <w:sz w:val="20"/>
          <w:szCs w:val="20"/>
        </w:rPr>
        <w:t>Table 24</w:t>
      </w:r>
      <w:r w:rsidR="00126779" w:rsidRPr="00ED615C">
        <w:rPr>
          <w:rFonts w:asciiTheme="minorHAnsi" w:hAnsiTheme="minorHAnsi"/>
          <w:b/>
          <w:bCs/>
          <w:sz w:val="20"/>
          <w:szCs w:val="20"/>
        </w:rPr>
        <w:t xml:space="preserve">: </w:t>
      </w:r>
      <w:r w:rsidR="00126779" w:rsidRPr="00ED615C">
        <w:rPr>
          <w:rFonts w:asciiTheme="minorHAnsi" w:hAnsiTheme="minorHAnsi"/>
          <w:sz w:val="20"/>
          <w:szCs w:val="20"/>
        </w:rPr>
        <w:t>Planning permissions granted for development in the Green Belt in 2017/18</w:t>
      </w:r>
    </w:p>
    <w:p w:rsidR="00126779" w:rsidRDefault="00126779" w:rsidP="00126779">
      <w:pPr>
        <w:rPr>
          <w:rFonts w:asciiTheme="minorHAnsi" w:hAnsiTheme="minorHAnsi"/>
        </w:rPr>
      </w:pPr>
    </w:p>
    <w:p w:rsidR="00126779" w:rsidRPr="005A2C19" w:rsidRDefault="00292336" w:rsidP="00126779">
      <w:pPr>
        <w:rPr>
          <w:rFonts w:asciiTheme="minorHAnsi" w:hAnsiTheme="minorHAnsi"/>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704320" behindDoc="1" locked="0" layoutInCell="1" allowOverlap="1" wp14:anchorId="55252BA9" wp14:editId="0E08E4D0">
                <wp:simplePos x="0" y="0"/>
                <wp:positionH relativeFrom="column">
                  <wp:posOffset>0</wp:posOffset>
                </wp:positionH>
                <wp:positionV relativeFrom="paragraph">
                  <wp:posOffset>79375</wp:posOffset>
                </wp:positionV>
                <wp:extent cx="5885180" cy="1780540"/>
                <wp:effectExtent l="0" t="0" r="1270" b="0"/>
                <wp:wrapNone/>
                <wp:docPr id="75" name="Rectangle 75"/>
                <wp:cNvGraphicFramePr/>
                <a:graphic xmlns:a="http://schemas.openxmlformats.org/drawingml/2006/main">
                  <a:graphicData uri="http://schemas.microsoft.com/office/word/2010/wordprocessingShape">
                    <wps:wsp>
                      <wps:cNvSpPr/>
                      <wps:spPr>
                        <a:xfrm>
                          <a:off x="0" y="0"/>
                          <a:ext cx="5885180" cy="178054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FBADD6" id="Rectangle 75" o:spid="_x0000_s1026" style="position:absolute;margin-left:0;margin-top:6.25pt;width:463.4pt;height:140.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" fillcolor="#c3d69b" stroked="f" strokeweight="2pt"/>
            </w:pict>
          </mc:Fallback>
        </mc:AlternateContent>
      </w:r>
    </w:p>
    <w:p w:rsidR="00126779" w:rsidRPr="009E16D0" w:rsidRDefault="00F97D78" w:rsidP="00F97D78">
      <w:pPr>
        <w:pStyle w:val="Heading2"/>
      </w:pPr>
      <w:bookmarkStart w:id="36" w:name="_Toc529178366"/>
      <w:r w:rsidRPr="009E16D0">
        <w:t>INDICATOR 28: HERITAGE ASSETS AT RISK</w:t>
      </w:r>
      <w:bookmarkEnd w:id="36"/>
    </w:p>
    <w:p w:rsidR="00126779" w:rsidRPr="0086781D" w:rsidRDefault="00126779" w:rsidP="00126779">
      <w:pPr>
        <w:autoSpaceDE w:val="0"/>
        <w:autoSpaceDN w:val="0"/>
        <w:adjustRightInd w:val="0"/>
        <w:rPr>
          <w:rFonts w:cs="Calibri"/>
          <w:color w:val="000000"/>
          <w:szCs w:val="22"/>
        </w:rPr>
      </w:pPr>
      <w:r w:rsidRPr="0086781D">
        <w:rPr>
          <w:rFonts w:cs="Calibri"/>
          <w:b/>
          <w:bCs/>
          <w:color w:val="000000"/>
          <w:szCs w:val="22"/>
        </w:rPr>
        <w:t xml:space="preserve">Target: A decrease in heritage assets at risk or no net increase in heritage assets at risk </w:t>
      </w:r>
    </w:p>
    <w:p w:rsidR="00126779" w:rsidRDefault="00126779" w:rsidP="00126779">
      <w:pPr>
        <w:rPr>
          <w:rFonts w:cs="Calibri"/>
          <w:color w:val="000000"/>
          <w:sz w:val="20"/>
          <w:szCs w:val="20"/>
        </w:rPr>
      </w:pPr>
      <w:r w:rsidRPr="0086781D">
        <w:rPr>
          <w:rFonts w:cs="Calibri"/>
          <w:color w:val="000000"/>
          <w:sz w:val="20"/>
          <w:szCs w:val="20"/>
        </w:rPr>
        <w:t>(Oxford Core Strategy Policy CS18)</w:t>
      </w:r>
    </w:p>
    <w:p w:rsidR="00292336" w:rsidRDefault="00292336" w:rsidP="00126779">
      <w:pPr>
        <w:rPr>
          <w:rFonts w:cs="Calibri"/>
          <w:color w:val="000000"/>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rsidTr="00292336">
        <w:trPr>
          <w:trHeight w:val="218"/>
        </w:trPr>
        <w:tc>
          <w:tcPr>
            <w:tcW w:w="5420" w:type="dxa"/>
          </w:tcPr>
          <w:p w:rsidR="00292336" w:rsidRPr="00283314" w:rsidRDefault="00292336" w:rsidP="00292336">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w:t>
            </w:r>
            <w:r w:rsidRPr="00283314">
              <w:rPr>
                <w:rFonts w:cs="Calibri"/>
                <w:b/>
                <w:color w:val="632423" w:themeColor="accent2" w:themeShade="80"/>
                <w:szCs w:val="22"/>
              </w:rPr>
              <w:t>/1</w:t>
            </w:r>
            <w:r>
              <w:rPr>
                <w:rFonts w:cs="Calibri"/>
                <w:b/>
                <w:color w:val="632423" w:themeColor="accent2" w:themeShade="80"/>
                <w:szCs w:val="22"/>
              </w:rPr>
              <w:t>8</w:t>
            </w:r>
            <w:r w:rsidRPr="00283314">
              <w:rPr>
                <w:rFonts w:cs="Calibri"/>
                <w:b/>
                <w:color w:val="632423" w:themeColor="accent2" w:themeShade="80"/>
                <w:szCs w:val="22"/>
              </w:rPr>
              <w:t>:</w:t>
            </w:r>
          </w:p>
        </w:tc>
        <w:tc>
          <w:tcPr>
            <w:tcW w:w="3714" w:type="dxa"/>
            <w:gridSpan w:val="2"/>
          </w:tcPr>
          <w:p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rsidTr="00292336">
        <w:tc>
          <w:tcPr>
            <w:tcW w:w="5420" w:type="dxa"/>
            <w:vMerge w:val="restart"/>
          </w:tcPr>
          <w:p w:rsidR="00292336" w:rsidRPr="009B0669" w:rsidRDefault="00292336" w:rsidP="00292336">
            <w:pPr>
              <w:autoSpaceDE w:val="0"/>
              <w:autoSpaceDN w:val="0"/>
              <w:adjustRightInd w:val="0"/>
              <w:jc w:val="center"/>
              <w:rPr>
                <w:rFonts w:cs="Calibri"/>
                <w:b/>
                <w:color w:val="632423" w:themeColor="accent2" w:themeShade="80"/>
                <w:sz w:val="6"/>
                <w:szCs w:val="6"/>
              </w:rPr>
            </w:pPr>
          </w:p>
          <w:p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063EC10E" wp14:editId="3080E01F">
                  <wp:extent cx="1388853" cy="418201"/>
                  <wp:effectExtent l="0" t="0" r="1905" b="1270"/>
                  <wp:docPr id="76" name="Picture 7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Cs w:val="22"/>
              </w:rPr>
            </w:pPr>
          </w:p>
          <w:p w:rsidR="00292336" w:rsidRPr="001A698B" w:rsidRDefault="00292336" w:rsidP="00292336">
            <w:pPr>
              <w:autoSpaceDE w:val="0"/>
              <w:autoSpaceDN w:val="0"/>
              <w:adjustRightInd w:val="0"/>
              <w:jc w:val="center"/>
              <w:rPr>
                <w:rFonts w:cs="Calibri"/>
                <w:b/>
                <w:color w:val="632423" w:themeColor="accent2" w:themeShade="80"/>
                <w:sz w:val="14"/>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5B22DB47" wp14:editId="634320B6">
                  <wp:extent cx="819150" cy="256182"/>
                  <wp:effectExtent l="0" t="0" r="0" b="0"/>
                  <wp:docPr id="77" name="Picture 7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rsidTr="00292336">
        <w:tc>
          <w:tcPr>
            <w:tcW w:w="5420" w:type="dxa"/>
            <w:vMerge/>
          </w:tcPr>
          <w:p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214AD1DE" wp14:editId="4E61ECC4">
                  <wp:extent cx="819150" cy="256182"/>
                  <wp:effectExtent l="0" t="0" r="0" b="0"/>
                  <wp:docPr id="78" name="Picture 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92336" w:rsidRDefault="00292336" w:rsidP="00126779">
      <w:pPr>
        <w:rPr>
          <w:rFonts w:cs="Calibri"/>
          <w:color w:val="000000"/>
          <w:sz w:val="20"/>
          <w:szCs w:val="20"/>
        </w:rPr>
      </w:pPr>
    </w:p>
    <w:p w:rsidR="00126779" w:rsidRDefault="00126779" w:rsidP="00126779"/>
    <w:p w:rsidR="00292336" w:rsidRDefault="00292336" w:rsidP="00126779"/>
    <w:p w:rsidR="00126779" w:rsidRDefault="00126779" w:rsidP="00126779">
      <w:pPr>
        <w:pStyle w:val="Default"/>
        <w:spacing w:after="255"/>
        <w:rPr>
          <w:sz w:val="22"/>
          <w:szCs w:val="22"/>
        </w:rPr>
      </w:pPr>
      <w:r>
        <w:rPr>
          <w:sz w:val="22"/>
          <w:szCs w:val="22"/>
        </w:rPr>
        <w:t xml:space="preserve">5.10 </w:t>
      </w:r>
      <w:r>
        <w:rPr>
          <w:sz w:val="22"/>
          <w:szCs w:val="22"/>
        </w:rPr>
        <w:tab/>
        <w:t xml:space="preserve">Oxford has a long, rich history and the city benefits from a diverse range of heritage assets. It is important that Oxford’s heritage assets are protected and enhanced as they are an important part of the city’s character and should be maintained for the benefit of future generations. </w:t>
      </w:r>
    </w:p>
    <w:p w:rsidR="00126779" w:rsidRDefault="00126779" w:rsidP="00126779">
      <w:pPr>
        <w:pStyle w:val="Default"/>
        <w:rPr>
          <w:sz w:val="22"/>
          <w:szCs w:val="22"/>
        </w:rPr>
      </w:pPr>
      <w:r>
        <w:rPr>
          <w:sz w:val="22"/>
          <w:szCs w:val="22"/>
        </w:rPr>
        <w:t xml:space="preserve">5.11 </w:t>
      </w:r>
      <w:r>
        <w:rPr>
          <w:sz w:val="22"/>
          <w:szCs w:val="22"/>
        </w:rPr>
        <w:tab/>
        <w:t xml:space="preserve">Historic England’s ‘Heritage at Risk’ programme identifies the heritage assets that are most at risk of being lost as a result of neglect, decay or inappropriate development across England.   In 2017/18 two of Oxford’s heritage assets were identified as </w:t>
      </w:r>
      <w:r w:rsidRPr="00ED615C">
        <w:rPr>
          <w:sz w:val="22"/>
          <w:szCs w:val="22"/>
        </w:rPr>
        <w:t>being at risk (</w:t>
      </w:r>
      <w:r w:rsidR="00F47862" w:rsidRPr="00ED615C">
        <w:rPr>
          <w:sz w:val="22"/>
          <w:szCs w:val="22"/>
        </w:rPr>
        <w:t>Table 25</w:t>
      </w:r>
      <w:r w:rsidRPr="00ED615C">
        <w:rPr>
          <w:sz w:val="22"/>
          <w:szCs w:val="22"/>
        </w:rPr>
        <w:t>).</w:t>
      </w:r>
      <w:r>
        <w:rPr>
          <w:sz w:val="22"/>
          <w:szCs w:val="22"/>
        </w:rPr>
        <w:t xml:space="preserve"> </w:t>
      </w:r>
    </w:p>
    <w:p w:rsidR="00126779" w:rsidRDefault="00126779" w:rsidP="00126779">
      <w:pPr>
        <w:pStyle w:val="Default"/>
        <w:rPr>
          <w:sz w:val="22"/>
          <w:szCs w:val="22"/>
        </w:rPr>
      </w:pPr>
    </w:p>
    <w:p w:rsidR="00126779" w:rsidRDefault="00126779" w:rsidP="00126779">
      <w:pPr>
        <w:pStyle w:val="Default"/>
        <w:rPr>
          <w:sz w:val="22"/>
          <w:szCs w:val="22"/>
        </w:rPr>
      </w:pPr>
    </w:p>
    <w:tbl>
      <w:tblPr>
        <w:tblStyle w:val="TableGrid"/>
        <w:tblW w:w="0" w:type="auto"/>
        <w:tblLook w:val="04A0" w:firstRow="1" w:lastRow="0" w:firstColumn="1" w:lastColumn="0" w:noHBand="0" w:noVBand="1"/>
      </w:tblPr>
      <w:tblGrid>
        <w:gridCol w:w="3080"/>
        <w:gridCol w:w="3081"/>
        <w:gridCol w:w="3081"/>
      </w:tblGrid>
      <w:tr w:rsidR="00126779" w:rsidRPr="009E16D0" w:rsidTr="00292336">
        <w:tc>
          <w:tcPr>
            <w:tcW w:w="3080" w:type="dxa"/>
            <w:shd w:val="clear" w:color="auto" w:fill="D6E3BC" w:themeFill="accent3" w:themeFillTint="66"/>
          </w:tcPr>
          <w:p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Heritage Asset</w:t>
            </w:r>
          </w:p>
        </w:tc>
        <w:tc>
          <w:tcPr>
            <w:tcW w:w="3081" w:type="dxa"/>
            <w:shd w:val="clear" w:color="auto" w:fill="D6E3BC" w:themeFill="accent3" w:themeFillTint="66"/>
          </w:tcPr>
          <w:p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Condition</w:t>
            </w:r>
          </w:p>
        </w:tc>
        <w:tc>
          <w:tcPr>
            <w:tcW w:w="3081" w:type="dxa"/>
            <w:shd w:val="clear" w:color="auto" w:fill="D6E3BC" w:themeFill="accent3" w:themeFillTint="66"/>
          </w:tcPr>
          <w:p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Priority Category</w:t>
            </w:r>
          </w:p>
        </w:tc>
      </w:tr>
      <w:tr w:rsidR="00126779" w:rsidRPr="009E16D0" w:rsidTr="00126779">
        <w:tc>
          <w:tcPr>
            <w:tcW w:w="3080" w:type="dxa"/>
          </w:tcPr>
          <w:p w:rsidR="00126779" w:rsidRPr="009E16D0" w:rsidRDefault="00126779" w:rsidP="00126779">
            <w:pPr>
              <w:pStyle w:val="Default"/>
              <w:rPr>
                <w:rFonts w:asciiTheme="minorHAnsi" w:hAnsiTheme="minorHAnsi"/>
                <w:sz w:val="22"/>
                <w:szCs w:val="22"/>
              </w:rPr>
            </w:pPr>
            <w:r w:rsidRPr="009E16D0">
              <w:rPr>
                <w:rFonts w:asciiTheme="minorHAnsi" w:hAnsiTheme="minorHAnsi" w:cs="Arial"/>
                <w:sz w:val="22"/>
                <w:szCs w:val="22"/>
              </w:rPr>
              <w:t xml:space="preserve">Swing bridge, near </w:t>
            </w:r>
            <w:proofErr w:type="spellStart"/>
            <w:r w:rsidRPr="009E16D0">
              <w:rPr>
                <w:rFonts w:asciiTheme="minorHAnsi" w:hAnsiTheme="minorHAnsi" w:cs="Arial"/>
                <w:sz w:val="22"/>
                <w:szCs w:val="22"/>
              </w:rPr>
              <w:t>Rewley</w:t>
            </w:r>
            <w:proofErr w:type="spellEnd"/>
            <w:r w:rsidRPr="009E16D0">
              <w:rPr>
                <w:rFonts w:asciiTheme="minorHAnsi" w:hAnsiTheme="minorHAnsi" w:cs="Arial"/>
                <w:sz w:val="22"/>
                <w:szCs w:val="22"/>
              </w:rPr>
              <w:t xml:space="preserve"> Road</w:t>
            </w:r>
          </w:p>
        </w:tc>
        <w:tc>
          <w:tcPr>
            <w:tcW w:w="3081" w:type="dxa"/>
          </w:tcPr>
          <w:p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 xml:space="preserve">Very Bad </w:t>
            </w:r>
          </w:p>
        </w:tc>
        <w:tc>
          <w:tcPr>
            <w:tcW w:w="3081" w:type="dxa"/>
          </w:tcPr>
          <w:p w:rsidR="00126779" w:rsidRPr="009E16D0" w:rsidRDefault="00126779" w:rsidP="00126779">
            <w:pPr>
              <w:pStyle w:val="Default"/>
              <w:rPr>
                <w:rFonts w:asciiTheme="minorHAnsi" w:hAnsiTheme="minorHAnsi"/>
                <w:sz w:val="22"/>
                <w:szCs w:val="22"/>
              </w:rPr>
            </w:pPr>
            <w:r w:rsidRPr="009E16D0">
              <w:rPr>
                <w:rFonts w:asciiTheme="minorHAnsi" w:hAnsiTheme="minorHAnsi" w:cs="Arial"/>
                <w:color w:val="333333"/>
                <w:spacing w:val="8"/>
                <w:sz w:val="22"/>
                <w:szCs w:val="22"/>
              </w:rPr>
              <w:t>F - Repair scheme in progress and (where applicable) end use or user identified.</w:t>
            </w:r>
          </w:p>
        </w:tc>
      </w:tr>
      <w:tr w:rsidR="00126779" w:rsidRPr="009E16D0" w:rsidTr="00126779">
        <w:tc>
          <w:tcPr>
            <w:tcW w:w="3080" w:type="dxa"/>
          </w:tcPr>
          <w:p w:rsidR="00126779" w:rsidRPr="009E16D0" w:rsidRDefault="00126779" w:rsidP="00126779">
            <w:pPr>
              <w:pStyle w:val="Default"/>
              <w:rPr>
                <w:rFonts w:asciiTheme="minorHAnsi" w:hAnsiTheme="minorHAnsi" w:cs="Arial"/>
                <w:sz w:val="22"/>
                <w:szCs w:val="22"/>
              </w:rPr>
            </w:pPr>
            <w:r w:rsidRPr="009E16D0">
              <w:rPr>
                <w:rFonts w:asciiTheme="minorHAnsi" w:hAnsiTheme="minorHAnsi" w:cs="Arial"/>
                <w:sz w:val="22"/>
                <w:szCs w:val="22"/>
              </w:rPr>
              <w:t>Church of St Thomas the Martyr, St Thomas Street</w:t>
            </w:r>
          </w:p>
        </w:tc>
        <w:tc>
          <w:tcPr>
            <w:tcW w:w="3081" w:type="dxa"/>
          </w:tcPr>
          <w:p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Poor</w:t>
            </w:r>
          </w:p>
        </w:tc>
        <w:tc>
          <w:tcPr>
            <w:tcW w:w="3081" w:type="dxa"/>
          </w:tcPr>
          <w:p w:rsidR="00126779" w:rsidRPr="009E16D0" w:rsidRDefault="00126779" w:rsidP="00126779">
            <w:pPr>
              <w:pStyle w:val="Default"/>
              <w:rPr>
                <w:rFonts w:asciiTheme="minorHAnsi" w:hAnsiTheme="minorHAnsi"/>
                <w:sz w:val="22"/>
                <w:szCs w:val="22"/>
              </w:rPr>
            </w:pPr>
            <w:r w:rsidRPr="009E16D0">
              <w:rPr>
                <w:rFonts w:asciiTheme="minorHAnsi" w:hAnsiTheme="minorHAnsi" w:cs="Arial"/>
                <w:color w:val="333333"/>
                <w:spacing w:val="8"/>
                <w:sz w:val="22"/>
                <w:szCs w:val="22"/>
              </w:rPr>
              <w:t>C - Slow decay; no solution agreed</w:t>
            </w:r>
          </w:p>
        </w:tc>
      </w:tr>
    </w:tbl>
    <w:p w:rsidR="00126779" w:rsidRDefault="00126779" w:rsidP="00126779">
      <w:pPr>
        <w:pStyle w:val="Default"/>
        <w:rPr>
          <w:sz w:val="22"/>
          <w:szCs w:val="22"/>
        </w:rPr>
      </w:pPr>
      <w:r>
        <w:rPr>
          <w:sz w:val="22"/>
          <w:szCs w:val="22"/>
        </w:rPr>
        <w:t xml:space="preserve">Table </w:t>
      </w:r>
      <w:r w:rsidR="00F47862">
        <w:rPr>
          <w:sz w:val="22"/>
          <w:szCs w:val="22"/>
        </w:rPr>
        <w:t>25</w:t>
      </w:r>
      <w:r>
        <w:rPr>
          <w:sz w:val="22"/>
          <w:szCs w:val="22"/>
        </w:rPr>
        <w:t>: Heritage assets at risk in Oxford (July 2018)</w:t>
      </w:r>
    </w:p>
    <w:p w:rsidR="00126779" w:rsidRDefault="00126779" w:rsidP="00126779">
      <w:pPr>
        <w:pStyle w:val="Default"/>
      </w:pPr>
    </w:p>
    <w:p w:rsidR="00126779" w:rsidRPr="00D0457F" w:rsidRDefault="00126779" w:rsidP="00126779">
      <w:pPr>
        <w:pStyle w:val="Default"/>
        <w:rPr>
          <w:color w:val="auto"/>
          <w:sz w:val="22"/>
          <w:szCs w:val="22"/>
        </w:rPr>
      </w:pPr>
      <w:r w:rsidRPr="00D0457F">
        <w:rPr>
          <w:color w:val="auto"/>
          <w:sz w:val="22"/>
          <w:szCs w:val="22"/>
        </w:rPr>
        <w:t xml:space="preserve">5.12 </w:t>
      </w:r>
      <w:r w:rsidRPr="00D0457F">
        <w:rPr>
          <w:color w:val="auto"/>
          <w:sz w:val="22"/>
          <w:szCs w:val="22"/>
        </w:rPr>
        <w:tab/>
        <w:t xml:space="preserve">The same heritage assets have previously identified as being at risk in the previous AMR.   There has been no notable change in their condition, although a repair scheme for the Swing Bridge </w:t>
      </w:r>
      <w:r w:rsidRPr="00D0457F">
        <w:rPr>
          <w:color w:val="auto"/>
          <w:sz w:val="22"/>
          <w:szCs w:val="22"/>
        </w:rPr>
        <w:lastRenderedPageBreak/>
        <w:t xml:space="preserve">is currently underway.  There has been no net change in the number of assets at risk when compared to the previous monitoring year. </w:t>
      </w:r>
    </w:p>
    <w:p w:rsidR="00126779" w:rsidRDefault="00292336" w:rsidP="00126779">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706368" behindDoc="1" locked="0" layoutInCell="1" allowOverlap="1" wp14:anchorId="1DC5011C" wp14:editId="29C843D9">
                <wp:simplePos x="0" y="0"/>
                <wp:positionH relativeFrom="column">
                  <wp:posOffset>-31531</wp:posOffset>
                </wp:positionH>
                <wp:positionV relativeFrom="paragraph">
                  <wp:posOffset>100439</wp:posOffset>
                </wp:positionV>
                <wp:extent cx="5885180" cy="1781504"/>
                <wp:effectExtent l="0" t="0" r="1270" b="9525"/>
                <wp:wrapNone/>
                <wp:docPr id="83" name="Rectangle 83"/>
                <wp:cNvGraphicFramePr/>
                <a:graphic xmlns:a="http://schemas.openxmlformats.org/drawingml/2006/main">
                  <a:graphicData uri="http://schemas.microsoft.com/office/word/2010/wordprocessingShape">
                    <wps:wsp>
                      <wps:cNvSpPr/>
                      <wps:spPr>
                        <a:xfrm>
                          <a:off x="0" y="0"/>
                          <a:ext cx="5885180" cy="1781504"/>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B2FAD9" id="Rectangle 83" o:spid="_x0000_s1026" style="position:absolute;margin-left:-2.5pt;margin-top:7.9pt;width:463.4pt;height:140.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" fillcolor="#c3d69b" stroked="f" strokeweight="2pt"/>
            </w:pict>
          </mc:Fallback>
        </mc:AlternateContent>
      </w:r>
    </w:p>
    <w:p w:rsidR="00126779" w:rsidRPr="008351DF" w:rsidRDefault="00F97D78" w:rsidP="00F97D78">
      <w:pPr>
        <w:pStyle w:val="Heading2"/>
      </w:pPr>
      <w:bookmarkStart w:id="37" w:name="_Toc529178367"/>
      <w:r w:rsidRPr="008351DF">
        <w:t>INDICATOR 29: APPLICATIONS INVOLVING THE TOTAL, SUBSTANTIAL OR PARTIAL DEMOLITION OF A LISTED BUILDING</w:t>
      </w:r>
      <w:bookmarkEnd w:id="37"/>
    </w:p>
    <w:p w:rsidR="00126779" w:rsidRPr="00A372FB" w:rsidRDefault="00126779" w:rsidP="00126779">
      <w:pPr>
        <w:autoSpaceDE w:val="0"/>
        <w:autoSpaceDN w:val="0"/>
        <w:adjustRightInd w:val="0"/>
        <w:rPr>
          <w:rFonts w:cs="Calibri"/>
          <w:color w:val="000000"/>
          <w:sz w:val="23"/>
          <w:szCs w:val="23"/>
        </w:rPr>
      </w:pPr>
      <w:r w:rsidRPr="00A372FB">
        <w:rPr>
          <w:rFonts w:cs="Calibri"/>
          <w:b/>
          <w:bCs/>
          <w:color w:val="000000"/>
          <w:szCs w:val="22"/>
        </w:rPr>
        <w:t xml:space="preserve">Target: 0% Listed Building Consents or planning permissions granted that </w:t>
      </w:r>
      <w:proofErr w:type="gramStart"/>
      <w:r w:rsidRPr="00A372FB">
        <w:rPr>
          <w:rFonts w:cs="Calibri"/>
          <w:b/>
          <w:bCs/>
          <w:color w:val="000000"/>
          <w:szCs w:val="22"/>
        </w:rPr>
        <w:t>involve</w:t>
      </w:r>
      <w:proofErr w:type="gramEnd"/>
      <w:r w:rsidRPr="00A372FB">
        <w:rPr>
          <w:rFonts w:cs="Calibri"/>
          <w:b/>
          <w:bCs/>
          <w:color w:val="000000"/>
          <w:szCs w:val="22"/>
        </w:rPr>
        <w:t xml:space="preserve"> the total, substantial or partial demolition of a listed buildin</w:t>
      </w:r>
      <w:r w:rsidRPr="00A372FB">
        <w:rPr>
          <w:rFonts w:cs="Calibri"/>
          <w:b/>
          <w:bCs/>
          <w:color w:val="000000"/>
          <w:sz w:val="23"/>
          <w:szCs w:val="23"/>
        </w:rPr>
        <w:t xml:space="preserve">g </w:t>
      </w:r>
    </w:p>
    <w:p w:rsidR="00126779" w:rsidRDefault="00126779" w:rsidP="00126779">
      <w:pPr>
        <w:rPr>
          <w:rFonts w:asciiTheme="minorHAnsi" w:hAnsiTheme="minorHAnsi"/>
          <w:b/>
        </w:rPr>
      </w:pPr>
      <w:r w:rsidRPr="00A372FB">
        <w:rPr>
          <w:rFonts w:cs="Calibri"/>
          <w:color w:val="000000"/>
          <w:sz w:val="20"/>
          <w:szCs w:val="20"/>
        </w:rPr>
        <w:t>(Oxford Core Strategy Policy CS18)</w:t>
      </w:r>
    </w:p>
    <w:p w:rsidR="00292336" w:rsidRDefault="00292336" w:rsidP="00126779"/>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rsidTr="00292336">
        <w:trPr>
          <w:trHeight w:val="218"/>
        </w:trPr>
        <w:tc>
          <w:tcPr>
            <w:tcW w:w="5420" w:type="dxa"/>
          </w:tcPr>
          <w:p w:rsidR="00292336" w:rsidRPr="00283314" w:rsidRDefault="00292336" w:rsidP="00292336">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2017/18</w:t>
            </w:r>
            <w:r w:rsidRPr="00283314">
              <w:rPr>
                <w:rFonts w:cs="Calibri"/>
                <w:b/>
                <w:color w:val="632423" w:themeColor="accent2" w:themeShade="80"/>
                <w:szCs w:val="22"/>
              </w:rPr>
              <w:t>:</w:t>
            </w:r>
          </w:p>
        </w:tc>
        <w:tc>
          <w:tcPr>
            <w:tcW w:w="3714" w:type="dxa"/>
            <w:gridSpan w:val="2"/>
          </w:tcPr>
          <w:p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rsidTr="00292336">
        <w:tc>
          <w:tcPr>
            <w:tcW w:w="5420" w:type="dxa"/>
            <w:vMerge w:val="restart"/>
          </w:tcPr>
          <w:p w:rsidR="00292336" w:rsidRPr="009664CC" w:rsidRDefault="00292336" w:rsidP="00292336">
            <w:pPr>
              <w:autoSpaceDE w:val="0"/>
              <w:autoSpaceDN w:val="0"/>
              <w:adjustRightInd w:val="0"/>
              <w:jc w:val="center"/>
              <w:rPr>
                <w:rFonts w:cs="Calibri"/>
                <w:b/>
                <w:color w:val="632423" w:themeColor="accent2" w:themeShade="80"/>
                <w:sz w:val="8"/>
                <w:szCs w:val="6"/>
              </w:rPr>
            </w:pPr>
          </w:p>
          <w:p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02DFA9E9" wp14:editId="59860D76">
                  <wp:extent cx="1388853" cy="418201"/>
                  <wp:effectExtent l="0" t="0" r="1905" b="1270"/>
                  <wp:docPr id="79" name="Picture 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Pr>
                <w:rFonts w:cs="Calibri"/>
                <w:b/>
                <w:noProof/>
                <w:color w:val="632423" w:themeColor="accent2" w:themeShade="80"/>
                <w:sz w:val="24"/>
                <w:lang w:eastAsia="en-GB"/>
              </w:rPr>
              <w:drawing>
                <wp:inline distT="0" distB="0" distL="0" distR="0" wp14:anchorId="06BF3C18" wp14:editId="71710F20">
                  <wp:extent cx="822960" cy="248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rsidTr="00292336">
        <w:tc>
          <w:tcPr>
            <w:tcW w:w="5420" w:type="dxa"/>
            <w:vMerge/>
          </w:tcPr>
          <w:p w:rsidR="00292336" w:rsidRPr="00283314" w:rsidRDefault="00292336" w:rsidP="00292336">
            <w:pPr>
              <w:autoSpaceDE w:val="0"/>
              <w:autoSpaceDN w:val="0"/>
              <w:adjustRightInd w:val="0"/>
              <w:jc w:val="center"/>
              <w:rPr>
                <w:rFonts w:cs="Calibri"/>
                <w:b/>
                <w:color w:val="632423" w:themeColor="accent2" w:themeShade="80"/>
                <w:sz w:val="24"/>
              </w:rPr>
            </w:pPr>
          </w:p>
        </w:tc>
        <w:tc>
          <w:tcPr>
            <w:tcW w:w="1101" w:type="dxa"/>
          </w:tcPr>
          <w:p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195E377D" wp14:editId="4E836970">
                  <wp:extent cx="819509" cy="255580"/>
                  <wp:effectExtent l="0" t="0" r="0" b="0"/>
                  <wp:docPr id="81" name="Picture 8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126779" w:rsidRDefault="00126779" w:rsidP="00126779"/>
    <w:p w:rsidR="00126779" w:rsidRPr="008351DF" w:rsidRDefault="00126779" w:rsidP="00126779">
      <w:pPr>
        <w:rPr>
          <w:rFonts w:asciiTheme="minorHAnsi" w:hAnsiTheme="minorHAnsi"/>
          <w:b/>
        </w:rPr>
      </w:pPr>
    </w:p>
    <w:p w:rsidR="00126779" w:rsidRDefault="00126779" w:rsidP="00126779">
      <w:pPr>
        <w:pStyle w:val="Default"/>
        <w:spacing w:after="255"/>
        <w:rPr>
          <w:sz w:val="22"/>
          <w:szCs w:val="22"/>
        </w:rPr>
      </w:pPr>
      <w:r>
        <w:rPr>
          <w:sz w:val="22"/>
          <w:szCs w:val="22"/>
        </w:rPr>
        <w:t xml:space="preserve">5.13 </w:t>
      </w:r>
      <w:r>
        <w:rPr>
          <w:sz w:val="22"/>
          <w:szCs w:val="22"/>
        </w:rPr>
        <w:tab/>
        <w:t xml:space="preserve">Listed buildings are irreplaceable heritage assets and as such should be protected from substantial harm which in the worst instance will include their total or substantial demolition. As such it is the City Council’s duty as custodians of Oxford’s unique, historic environment to resist such loss of heritage assets as far as possible. </w:t>
      </w:r>
    </w:p>
    <w:p w:rsidR="00126779" w:rsidRDefault="00126779" w:rsidP="00126779">
      <w:pPr>
        <w:pStyle w:val="Default"/>
        <w:rPr>
          <w:sz w:val="22"/>
          <w:szCs w:val="22"/>
        </w:rPr>
      </w:pPr>
      <w:r>
        <w:rPr>
          <w:sz w:val="22"/>
          <w:szCs w:val="22"/>
        </w:rPr>
        <w:t xml:space="preserve">5.14 </w:t>
      </w:r>
      <w:r>
        <w:rPr>
          <w:sz w:val="22"/>
          <w:szCs w:val="22"/>
        </w:rPr>
        <w:tab/>
        <w:t xml:space="preserve">One application was received in 2017/18 which involved the partial </w:t>
      </w:r>
      <w:r w:rsidRPr="00ED615C">
        <w:rPr>
          <w:sz w:val="22"/>
          <w:szCs w:val="22"/>
        </w:rPr>
        <w:t xml:space="preserve">demolition of a listed building.  The application was permitted subject to conditions </w:t>
      </w:r>
      <w:r w:rsidR="00F47862" w:rsidRPr="00ED615C">
        <w:rPr>
          <w:sz w:val="22"/>
          <w:szCs w:val="22"/>
        </w:rPr>
        <w:t>(Table 26</w:t>
      </w:r>
      <w:r w:rsidRPr="00ED615C">
        <w:rPr>
          <w:sz w:val="22"/>
          <w:szCs w:val="22"/>
        </w:rPr>
        <w:t>).</w:t>
      </w:r>
      <w:r>
        <w:rPr>
          <w:sz w:val="22"/>
          <w:szCs w:val="22"/>
        </w:rPr>
        <w:t xml:space="preserve"> </w:t>
      </w:r>
    </w:p>
    <w:p w:rsidR="00126779" w:rsidRDefault="00126779" w:rsidP="00126779">
      <w:pPr>
        <w:pStyle w:val="Default"/>
        <w:rPr>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126779" w:rsidTr="00EF0DA3">
        <w:tc>
          <w:tcPr>
            <w:tcW w:w="2310" w:type="dxa"/>
            <w:shd w:val="clear" w:color="auto" w:fill="D6E3BC" w:themeFill="accent3" w:themeFillTint="66"/>
          </w:tcPr>
          <w:p w:rsidR="00126779" w:rsidRDefault="00126779" w:rsidP="00126779">
            <w:pPr>
              <w:pStyle w:val="Default"/>
              <w:rPr>
                <w:sz w:val="22"/>
                <w:szCs w:val="22"/>
              </w:rPr>
            </w:pPr>
            <w:r>
              <w:rPr>
                <w:sz w:val="22"/>
                <w:szCs w:val="22"/>
              </w:rPr>
              <w:t>Application reference</w:t>
            </w:r>
          </w:p>
        </w:tc>
        <w:tc>
          <w:tcPr>
            <w:tcW w:w="2310" w:type="dxa"/>
            <w:shd w:val="clear" w:color="auto" w:fill="D6E3BC" w:themeFill="accent3" w:themeFillTint="66"/>
          </w:tcPr>
          <w:p w:rsidR="00126779" w:rsidRDefault="00126779" w:rsidP="00126779">
            <w:pPr>
              <w:pStyle w:val="Default"/>
              <w:rPr>
                <w:sz w:val="22"/>
                <w:szCs w:val="22"/>
              </w:rPr>
            </w:pPr>
            <w:r>
              <w:rPr>
                <w:sz w:val="22"/>
                <w:szCs w:val="22"/>
              </w:rPr>
              <w:t>Decision</w:t>
            </w:r>
          </w:p>
        </w:tc>
        <w:tc>
          <w:tcPr>
            <w:tcW w:w="2311" w:type="dxa"/>
            <w:shd w:val="clear" w:color="auto" w:fill="D6E3BC" w:themeFill="accent3" w:themeFillTint="66"/>
          </w:tcPr>
          <w:p w:rsidR="00126779" w:rsidRDefault="00126779" w:rsidP="00126779">
            <w:pPr>
              <w:pStyle w:val="Default"/>
              <w:rPr>
                <w:sz w:val="22"/>
                <w:szCs w:val="22"/>
              </w:rPr>
            </w:pPr>
            <w:r>
              <w:rPr>
                <w:sz w:val="22"/>
                <w:szCs w:val="22"/>
              </w:rPr>
              <w:t>Location</w:t>
            </w:r>
          </w:p>
        </w:tc>
        <w:tc>
          <w:tcPr>
            <w:tcW w:w="2311" w:type="dxa"/>
            <w:shd w:val="clear" w:color="auto" w:fill="D6E3BC" w:themeFill="accent3" w:themeFillTint="66"/>
          </w:tcPr>
          <w:p w:rsidR="00126779" w:rsidRDefault="00126779" w:rsidP="00126779">
            <w:pPr>
              <w:pStyle w:val="Default"/>
              <w:rPr>
                <w:sz w:val="22"/>
                <w:szCs w:val="22"/>
              </w:rPr>
            </w:pPr>
            <w:r>
              <w:rPr>
                <w:sz w:val="22"/>
                <w:szCs w:val="22"/>
              </w:rPr>
              <w:t>Proposal</w:t>
            </w:r>
          </w:p>
        </w:tc>
      </w:tr>
      <w:tr w:rsidR="00126779" w:rsidTr="00126779">
        <w:tc>
          <w:tcPr>
            <w:tcW w:w="2310" w:type="dxa"/>
          </w:tcPr>
          <w:p w:rsidR="00126779" w:rsidRDefault="00126779" w:rsidP="00126779">
            <w:pPr>
              <w:pStyle w:val="Default"/>
              <w:rPr>
                <w:sz w:val="22"/>
                <w:szCs w:val="22"/>
              </w:rPr>
            </w:pPr>
            <w:r w:rsidRPr="000658C0">
              <w:rPr>
                <w:sz w:val="22"/>
                <w:szCs w:val="22"/>
              </w:rPr>
              <w:t>18/01016/LBD</w:t>
            </w:r>
          </w:p>
        </w:tc>
        <w:tc>
          <w:tcPr>
            <w:tcW w:w="2310" w:type="dxa"/>
          </w:tcPr>
          <w:p w:rsidR="00126779" w:rsidRDefault="00126779" w:rsidP="00126779">
            <w:pPr>
              <w:pStyle w:val="Default"/>
              <w:rPr>
                <w:sz w:val="22"/>
                <w:szCs w:val="22"/>
              </w:rPr>
            </w:pPr>
            <w:r>
              <w:rPr>
                <w:sz w:val="22"/>
                <w:szCs w:val="22"/>
              </w:rPr>
              <w:t>Permitted</w:t>
            </w:r>
          </w:p>
        </w:tc>
        <w:tc>
          <w:tcPr>
            <w:tcW w:w="2311" w:type="dxa"/>
          </w:tcPr>
          <w:p w:rsidR="00126779" w:rsidRPr="000658C0" w:rsidRDefault="00126779" w:rsidP="00126779">
            <w:pPr>
              <w:pStyle w:val="Default"/>
              <w:rPr>
                <w:sz w:val="22"/>
                <w:szCs w:val="22"/>
              </w:rPr>
            </w:pPr>
            <w:r w:rsidRPr="000658C0">
              <w:rPr>
                <w:sz w:val="22"/>
                <w:szCs w:val="22"/>
              </w:rPr>
              <w:t>9 Merton Street</w:t>
            </w:r>
          </w:p>
          <w:p w:rsidR="00126779" w:rsidRDefault="00126779" w:rsidP="00126779">
            <w:pPr>
              <w:pStyle w:val="Default"/>
              <w:rPr>
                <w:sz w:val="22"/>
                <w:szCs w:val="22"/>
              </w:rPr>
            </w:pPr>
            <w:r>
              <w:rPr>
                <w:sz w:val="22"/>
                <w:szCs w:val="22"/>
              </w:rPr>
              <w:t>Oxford</w:t>
            </w:r>
          </w:p>
        </w:tc>
        <w:tc>
          <w:tcPr>
            <w:tcW w:w="2311" w:type="dxa"/>
          </w:tcPr>
          <w:p w:rsidR="00126779" w:rsidRDefault="00126779" w:rsidP="00126779">
            <w:pPr>
              <w:pStyle w:val="Default"/>
              <w:rPr>
                <w:sz w:val="22"/>
                <w:szCs w:val="22"/>
              </w:rPr>
            </w:pPr>
            <w:r w:rsidRPr="000658C0">
              <w:rPr>
                <w:sz w:val="22"/>
                <w:szCs w:val="22"/>
              </w:rPr>
              <w:t>Part demolition of curtilage boundary wall in association with landscaping of existing garden areas to 9 &amp; 10 Merton Street. (Amended plan)</w:t>
            </w:r>
          </w:p>
        </w:tc>
      </w:tr>
    </w:tbl>
    <w:p w:rsidR="00126779" w:rsidRDefault="00F47862" w:rsidP="00126779">
      <w:pPr>
        <w:pStyle w:val="Default"/>
        <w:rPr>
          <w:sz w:val="22"/>
          <w:szCs w:val="22"/>
        </w:rPr>
      </w:pPr>
      <w:r>
        <w:rPr>
          <w:sz w:val="22"/>
          <w:szCs w:val="22"/>
        </w:rPr>
        <w:t>Table 26</w:t>
      </w:r>
      <w:r w:rsidR="00126779">
        <w:rPr>
          <w:sz w:val="22"/>
          <w:szCs w:val="22"/>
        </w:rPr>
        <w:t>: Applications involving the total, substantial or partial demolition of a listed building determined during 2017/18 (July 2018)</w:t>
      </w:r>
    </w:p>
    <w:p w:rsidR="00126779" w:rsidRPr="00D0457F" w:rsidRDefault="00126779" w:rsidP="00126779">
      <w:pPr>
        <w:pStyle w:val="Default"/>
        <w:rPr>
          <w:color w:val="auto"/>
          <w:sz w:val="22"/>
          <w:szCs w:val="22"/>
        </w:rPr>
      </w:pPr>
    </w:p>
    <w:p w:rsidR="00126779" w:rsidRPr="00D0457F" w:rsidRDefault="00126779" w:rsidP="00126779">
      <w:pPr>
        <w:pStyle w:val="Default"/>
        <w:rPr>
          <w:color w:val="auto"/>
          <w:sz w:val="22"/>
          <w:szCs w:val="22"/>
        </w:rPr>
      </w:pPr>
      <w:r w:rsidRPr="00D0457F">
        <w:rPr>
          <w:color w:val="auto"/>
          <w:sz w:val="22"/>
          <w:szCs w:val="22"/>
        </w:rPr>
        <w:t>5.15</w:t>
      </w:r>
      <w:r w:rsidRPr="00D0457F">
        <w:rPr>
          <w:color w:val="auto"/>
          <w:sz w:val="22"/>
          <w:szCs w:val="22"/>
        </w:rPr>
        <w:tab/>
        <w:t>Application 18/01016/LBD as permitted comprises of the removal of a section of a brick curtilage wall in order to create an opening and access between the garden areas of two adjoining properties.  While the creation of a new opening would involve the removal of historic fabric and reduce the overall integrity of the wall and listed building, the council deemed that the extent of the harm caused by the scale of the works will be less than substantial.  The reuse of existing bricks to make improvements to other poorly rebuilt sections of the wall would mitigate the harm caused.  It was also considered that there are public benefits that would arise from the provision of a more usable, accessible and flexible communal garden areas, which would outweigh the less-than-substantial harm to the listed building context.  It is noted that the application was submitted as a resubmission to a previously refused scheme, which proposed the demolition of the entire boundary wall.</w:t>
      </w:r>
    </w:p>
    <w:p w:rsidR="00126779" w:rsidRDefault="00126779" w:rsidP="00126779">
      <w:pPr>
        <w:rPr>
          <w:color w:val="00B050"/>
        </w:rPr>
      </w:pPr>
    </w:p>
    <w:p w:rsidR="00EF0DA3" w:rsidRDefault="00EF0DA3" w:rsidP="00126779">
      <w:pPr>
        <w:rPr>
          <w:rFonts w:asciiTheme="minorHAnsi" w:hAnsiTheme="minorHAnsi"/>
          <w:b/>
        </w:rPr>
      </w:pPr>
    </w:p>
    <w:p w:rsidR="00EF0DA3" w:rsidRDefault="00EF0DA3" w:rsidP="00126779">
      <w:pPr>
        <w:rPr>
          <w:rFonts w:asciiTheme="minorHAnsi" w:hAnsiTheme="minorHAnsi"/>
          <w:b/>
        </w:rPr>
      </w:pPr>
    </w:p>
    <w:p w:rsidR="00EF0DA3" w:rsidRDefault="00EF0DA3" w:rsidP="00126779">
      <w:pPr>
        <w:rPr>
          <w:rFonts w:asciiTheme="minorHAnsi" w:hAnsiTheme="minorHAnsi"/>
          <w:b/>
        </w:rPr>
      </w:pPr>
    </w:p>
    <w:p w:rsidR="00EF0DA3" w:rsidRDefault="00EF0DA3" w:rsidP="00126779">
      <w:pPr>
        <w:rPr>
          <w:rFonts w:asciiTheme="minorHAnsi" w:hAnsiTheme="minorHAnsi"/>
          <w:b/>
        </w:rPr>
      </w:pPr>
    </w:p>
    <w:p w:rsidR="00EF0DA3" w:rsidRDefault="00EF0DA3" w:rsidP="00126779">
      <w:pPr>
        <w:rPr>
          <w:rFonts w:asciiTheme="minorHAnsi" w:hAnsiTheme="minorHAnsi"/>
          <w:b/>
        </w:rPr>
      </w:pPr>
    </w:p>
    <w:p w:rsidR="00EF0DA3" w:rsidRDefault="00EF0DA3" w:rsidP="00126779">
      <w:pPr>
        <w:rPr>
          <w:rFonts w:asciiTheme="minorHAnsi" w:hAnsiTheme="minorHAnsi"/>
          <w:b/>
        </w:rPr>
      </w:pPr>
    </w:p>
    <w:bookmarkStart w:id="38" w:name="_Toc529178368"/>
    <w:p w:rsidR="00126779" w:rsidRPr="00181609" w:rsidRDefault="00EF0DA3" w:rsidP="00F97D78">
      <w:pPr>
        <w:pStyle w:val="Heading2"/>
      </w:pPr>
      <w:r w:rsidRPr="00351DD4">
        <w:rPr>
          <w:rFonts w:eastAsia="Calibri" w:cs="Calibri"/>
          <w:noProof/>
          <w:color w:val="244061" w:themeColor="accent1" w:themeShade="80"/>
          <w:sz w:val="8"/>
          <w:szCs w:val="22"/>
        </w:rPr>
        <mc:AlternateContent>
          <mc:Choice Requires="wps">
            <w:drawing>
              <wp:anchor distT="0" distB="0" distL="114300" distR="114300" simplePos="0" relativeHeight="251708416" behindDoc="1" locked="0" layoutInCell="1" allowOverlap="1" wp14:anchorId="7BB5D877" wp14:editId="0A3E4FD6">
                <wp:simplePos x="0" y="0"/>
                <wp:positionH relativeFrom="column">
                  <wp:posOffset>-47297</wp:posOffset>
                </wp:positionH>
                <wp:positionV relativeFrom="paragraph">
                  <wp:posOffset>0</wp:posOffset>
                </wp:positionV>
                <wp:extent cx="5885180" cy="1560786"/>
                <wp:effectExtent l="0" t="0" r="1270" b="1905"/>
                <wp:wrapNone/>
                <wp:docPr id="92" name="Rectangle 92"/>
                <wp:cNvGraphicFramePr/>
                <a:graphic xmlns:a="http://schemas.openxmlformats.org/drawingml/2006/main">
                  <a:graphicData uri="http://schemas.microsoft.com/office/word/2010/wordprocessingShape">
                    <wps:wsp>
                      <wps:cNvSpPr/>
                      <wps:spPr>
                        <a:xfrm>
                          <a:off x="0" y="0"/>
                          <a:ext cx="5885180" cy="1560786"/>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FE8C04" id="Rectangle 92" o:spid="_x0000_s1026" style="position:absolute;margin-left:-3.7pt;margin-top:0;width:463.4pt;height:122.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" fillcolor="#c3d69b" stroked="f" strokeweight="2pt"/>
            </w:pict>
          </mc:Fallback>
        </mc:AlternateContent>
      </w:r>
      <w:r w:rsidR="00126779" w:rsidRPr="00181609">
        <w:t>I</w:t>
      </w:r>
      <w:r w:rsidR="000D7D6E" w:rsidRPr="00181609">
        <w:t>NDICATOR 30: APPEALS ALLOWED WHERE CONSERVATION POLICIES WERE CITED AS A REASON FOR REFUSAL</w:t>
      </w:r>
      <w:bookmarkEnd w:id="38"/>
    </w:p>
    <w:p w:rsidR="00126779" w:rsidRDefault="00126779" w:rsidP="00126779">
      <w:pPr>
        <w:rPr>
          <w:sz w:val="18"/>
          <w:szCs w:val="20"/>
        </w:rPr>
      </w:pPr>
      <w:r w:rsidRPr="00A372FB">
        <w:rPr>
          <w:b/>
          <w:bCs/>
          <w:sz w:val="20"/>
          <w:szCs w:val="22"/>
        </w:rPr>
        <w:t xml:space="preserve">Target: 80% of appeals dismissed where conservation policies are cited as a reason for refusal </w:t>
      </w:r>
      <w:r w:rsidRPr="00A372FB">
        <w:rPr>
          <w:sz w:val="18"/>
          <w:szCs w:val="20"/>
        </w:rPr>
        <w:t>(Oxford Core Strategy Policy CS18)</w:t>
      </w:r>
    </w:p>
    <w:p w:rsidR="00EF0DA3" w:rsidRDefault="00EF0DA3" w:rsidP="00126779"/>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EF0DA3" w:rsidRPr="00351DD4" w:rsidTr="003156B8">
        <w:trPr>
          <w:trHeight w:val="218"/>
        </w:trPr>
        <w:tc>
          <w:tcPr>
            <w:tcW w:w="5420" w:type="dxa"/>
          </w:tcPr>
          <w:p w:rsidR="00EF0DA3" w:rsidRPr="00EF0DA3" w:rsidRDefault="00EF0DA3" w:rsidP="003156B8">
            <w:pPr>
              <w:autoSpaceDE w:val="0"/>
              <w:autoSpaceDN w:val="0"/>
              <w:adjustRightInd w:val="0"/>
              <w:ind w:left="-108"/>
              <w:rPr>
                <w:b/>
                <w:noProof/>
                <w:szCs w:val="16"/>
                <w:lang w:eastAsia="en-GB"/>
              </w:rPr>
            </w:pPr>
            <w:r w:rsidRPr="00EF0DA3">
              <w:rPr>
                <w:rFonts w:eastAsia="Calibri" w:cs="Calibri"/>
                <w:b/>
              </w:rPr>
              <w:t>Performance against target 2017/18:</w:t>
            </w:r>
          </w:p>
        </w:tc>
        <w:tc>
          <w:tcPr>
            <w:tcW w:w="3714" w:type="dxa"/>
            <w:gridSpan w:val="2"/>
          </w:tcPr>
          <w:p w:rsidR="00EF0DA3" w:rsidRPr="00EF0DA3" w:rsidRDefault="00EF0DA3" w:rsidP="003156B8">
            <w:pPr>
              <w:autoSpaceDE w:val="0"/>
              <w:autoSpaceDN w:val="0"/>
              <w:adjustRightInd w:val="0"/>
              <w:rPr>
                <w:rFonts w:eastAsia="Calibri" w:cs="Calibri"/>
                <w:b/>
              </w:rPr>
            </w:pPr>
            <w:r w:rsidRPr="00EF0DA3">
              <w:rPr>
                <w:rFonts w:eastAsia="Calibri" w:cs="Calibri"/>
                <w:b/>
              </w:rPr>
              <w:t>Performance in previous two years:</w:t>
            </w:r>
          </w:p>
        </w:tc>
      </w:tr>
      <w:tr w:rsidR="00EF0DA3" w:rsidRPr="00351DD4" w:rsidTr="003156B8">
        <w:tc>
          <w:tcPr>
            <w:tcW w:w="5420" w:type="dxa"/>
            <w:vMerge w:val="restart"/>
          </w:tcPr>
          <w:p w:rsidR="00EF0DA3" w:rsidRPr="00EF0DA3" w:rsidRDefault="00EF0DA3" w:rsidP="003156B8">
            <w:pPr>
              <w:autoSpaceDE w:val="0"/>
              <w:autoSpaceDN w:val="0"/>
              <w:adjustRightInd w:val="0"/>
              <w:jc w:val="center"/>
              <w:rPr>
                <w:rFonts w:eastAsia="Calibri" w:cs="Calibri"/>
                <w:b/>
                <w:sz w:val="8"/>
                <w:szCs w:val="8"/>
              </w:rPr>
            </w:pPr>
          </w:p>
          <w:p w:rsidR="00EF0DA3" w:rsidRPr="00EF0DA3" w:rsidRDefault="00EF0DA3" w:rsidP="003156B8">
            <w:pPr>
              <w:autoSpaceDE w:val="0"/>
              <w:autoSpaceDN w:val="0"/>
              <w:adjustRightInd w:val="0"/>
              <w:jc w:val="center"/>
              <w:rPr>
                <w:rFonts w:eastAsia="Calibri" w:cs="Calibri"/>
                <w:b/>
                <w:szCs w:val="12"/>
              </w:rPr>
            </w:pPr>
            <w:r w:rsidRPr="00EF0DA3">
              <w:rPr>
                <w:b/>
                <w:noProof/>
                <w:sz w:val="28"/>
                <w:szCs w:val="32"/>
                <w:lang w:eastAsia="en-GB"/>
              </w:rPr>
              <w:drawing>
                <wp:inline distT="0" distB="0" distL="0" distR="0" wp14:anchorId="5FC6C3D1" wp14:editId="675309CE">
                  <wp:extent cx="1390650" cy="433702"/>
                  <wp:effectExtent l="0" t="0" r="0" b="5080"/>
                  <wp:docPr id="84" name="Picture 8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EF0DA3" w:rsidRPr="00EF0DA3" w:rsidRDefault="00EF0DA3" w:rsidP="003156B8">
            <w:pPr>
              <w:autoSpaceDE w:val="0"/>
              <w:autoSpaceDN w:val="0"/>
              <w:adjustRightInd w:val="0"/>
              <w:rPr>
                <w:rFonts w:eastAsia="Calibri" w:cs="Calibri"/>
                <w:b/>
              </w:rPr>
            </w:pPr>
            <w:r w:rsidRPr="00EF0DA3">
              <w:rPr>
                <w:rFonts w:eastAsia="Calibri" w:cs="Calibri"/>
                <w:b/>
              </w:rPr>
              <w:t>2016/17:</w:t>
            </w:r>
          </w:p>
        </w:tc>
        <w:tc>
          <w:tcPr>
            <w:tcW w:w="2613" w:type="dxa"/>
          </w:tcPr>
          <w:p w:rsidR="00EF0DA3" w:rsidRPr="00EF0DA3" w:rsidRDefault="00EF0DA3" w:rsidP="003156B8">
            <w:pPr>
              <w:autoSpaceDE w:val="0"/>
              <w:autoSpaceDN w:val="0"/>
              <w:adjustRightInd w:val="0"/>
              <w:rPr>
                <w:rFonts w:eastAsia="Calibri" w:cs="Calibri"/>
                <w:b/>
              </w:rPr>
            </w:pPr>
            <w:r w:rsidRPr="00EF0DA3">
              <w:rPr>
                <w:noProof/>
                <w:lang w:eastAsia="en-GB"/>
              </w:rPr>
              <w:drawing>
                <wp:inline distT="0" distB="0" distL="0" distR="0" wp14:anchorId="77AC1EB7" wp14:editId="21234E7D">
                  <wp:extent cx="819150" cy="256297"/>
                  <wp:effectExtent l="0" t="0" r="0" b="0"/>
                  <wp:docPr id="88" name="Picture 8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EF0DA3" w:rsidRPr="00EF0DA3" w:rsidRDefault="00EF0DA3" w:rsidP="003156B8">
            <w:pPr>
              <w:autoSpaceDE w:val="0"/>
              <w:autoSpaceDN w:val="0"/>
              <w:adjustRightInd w:val="0"/>
              <w:jc w:val="center"/>
              <w:rPr>
                <w:rFonts w:eastAsia="Calibri" w:cs="Calibri"/>
                <w:b/>
                <w:sz w:val="4"/>
                <w:szCs w:val="8"/>
              </w:rPr>
            </w:pPr>
          </w:p>
        </w:tc>
      </w:tr>
      <w:tr w:rsidR="00EF0DA3" w:rsidRPr="00351DD4" w:rsidTr="003156B8">
        <w:tc>
          <w:tcPr>
            <w:tcW w:w="5420" w:type="dxa"/>
            <w:vMerge/>
          </w:tcPr>
          <w:p w:rsidR="00EF0DA3" w:rsidRPr="00EF0DA3" w:rsidRDefault="00EF0DA3" w:rsidP="003156B8">
            <w:pPr>
              <w:autoSpaceDE w:val="0"/>
              <w:autoSpaceDN w:val="0"/>
              <w:adjustRightInd w:val="0"/>
              <w:jc w:val="center"/>
              <w:rPr>
                <w:rFonts w:eastAsia="Calibri" w:cs="Calibri"/>
                <w:b/>
              </w:rPr>
            </w:pPr>
          </w:p>
        </w:tc>
        <w:tc>
          <w:tcPr>
            <w:tcW w:w="1101" w:type="dxa"/>
          </w:tcPr>
          <w:p w:rsidR="00EF0DA3" w:rsidRPr="00EF0DA3" w:rsidRDefault="00EF0DA3" w:rsidP="003156B8">
            <w:pPr>
              <w:autoSpaceDE w:val="0"/>
              <w:autoSpaceDN w:val="0"/>
              <w:adjustRightInd w:val="0"/>
              <w:rPr>
                <w:rFonts w:eastAsia="Calibri" w:cs="Calibri"/>
                <w:b/>
              </w:rPr>
            </w:pPr>
            <w:r w:rsidRPr="00EF0DA3">
              <w:rPr>
                <w:rFonts w:eastAsia="Calibri" w:cs="Calibri"/>
                <w:b/>
              </w:rPr>
              <w:t>2015/16:</w:t>
            </w:r>
          </w:p>
        </w:tc>
        <w:tc>
          <w:tcPr>
            <w:tcW w:w="2613" w:type="dxa"/>
          </w:tcPr>
          <w:p w:rsidR="00EF0DA3" w:rsidRPr="00EF0DA3" w:rsidRDefault="00EF0DA3" w:rsidP="003156B8">
            <w:pPr>
              <w:autoSpaceDE w:val="0"/>
              <w:autoSpaceDN w:val="0"/>
              <w:adjustRightInd w:val="0"/>
              <w:rPr>
                <w:rFonts w:eastAsia="Calibri" w:cs="Calibri"/>
                <w:b/>
              </w:rPr>
            </w:pPr>
            <w:r w:rsidRPr="00EF0DA3">
              <w:rPr>
                <w:noProof/>
                <w:lang w:eastAsia="en-GB"/>
              </w:rPr>
              <w:drawing>
                <wp:inline distT="0" distB="0" distL="0" distR="0" wp14:anchorId="6286DC90" wp14:editId="6AC86144">
                  <wp:extent cx="819150" cy="256297"/>
                  <wp:effectExtent l="0" t="0" r="0" b="0"/>
                  <wp:docPr id="90" name="Picture 90"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r>
    </w:tbl>
    <w:p w:rsidR="00EF0DA3" w:rsidRDefault="00EF0DA3" w:rsidP="00126779">
      <w:pPr>
        <w:pStyle w:val="Default"/>
        <w:spacing w:after="256"/>
        <w:rPr>
          <w:sz w:val="22"/>
          <w:szCs w:val="22"/>
        </w:rPr>
      </w:pPr>
    </w:p>
    <w:p w:rsidR="00126779" w:rsidRDefault="00126779" w:rsidP="00126779">
      <w:pPr>
        <w:pStyle w:val="Default"/>
        <w:spacing w:after="256"/>
        <w:rPr>
          <w:sz w:val="22"/>
          <w:szCs w:val="22"/>
        </w:rPr>
      </w:pPr>
      <w:r>
        <w:rPr>
          <w:sz w:val="22"/>
          <w:szCs w:val="22"/>
        </w:rPr>
        <w:t xml:space="preserve">5.16 Oxford has a rich heritage, spanning over one thousand years. While it is clear that modern development must happen for Oxford to successfully function as an urban space, this should not be at the expense of Oxford’s heritage assets. Oxford’s conservation policies are therefore intended to accommodate modernity and growth but manage their effect on the historic environment. </w:t>
      </w:r>
    </w:p>
    <w:p w:rsidR="00126779" w:rsidRPr="00C4459E" w:rsidRDefault="00126779" w:rsidP="00126779">
      <w:pPr>
        <w:pStyle w:val="Default"/>
        <w:rPr>
          <w:color w:val="auto"/>
          <w:sz w:val="22"/>
          <w:szCs w:val="22"/>
        </w:rPr>
      </w:pPr>
      <w:r w:rsidRPr="00C4459E">
        <w:rPr>
          <w:color w:val="auto"/>
          <w:sz w:val="22"/>
          <w:szCs w:val="22"/>
        </w:rPr>
        <w:t xml:space="preserve">5.17 Oxford’s detailed conservation policies are the Saved Local Plan 2001-16 historic environment policies.  Eight appeals were determined in 2017/18 where these policies were cited as one of the reasons for refusal.  Of these five were dismissed (63%).  In the three cases where the appeals were upheld, the inspector determined that the proposals would not result in overall harm to the heritage context. </w:t>
      </w:r>
    </w:p>
    <w:p w:rsidR="00126779" w:rsidRDefault="00126779" w:rsidP="00126779">
      <w:pPr>
        <w:pStyle w:val="Default"/>
        <w:rPr>
          <w:rFonts w:cs="Arial"/>
          <w:color w:val="auto"/>
        </w:rPr>
      </w:pPr>
    </w:p>
    <w:p w:rsidR="00126779" w:rsidRDefault="00126779" w:rsidP="00126779">
      <w:pPr>
        <w:pStyle w:val="Default"/>
        <w:rPr>
          <w:color w:val="auto"/>
          <w:sz w:val="22"/>
          <w:szCs w:val="22"/>
        </w:rPr>
      </w:pPr>
      <w:r w:rsidRPr="00D874C5">
        <w:rPr>
          <w:rFonts w:cs="Arial"/>
          <w:color w:val="auto"/>
          <w:sz w:val="22"/>
          <w:szCs w:val="22"/>
        </w:rPr>
        <w:t xml:space="preserve">5.18 Whilst the performance in 2017/18 is below the established baseline, it demonstrates an improvement to the results in the previous AMR.   The usefulness of using a percentage based target as a measure of the success of the policy remains questionable, given that the key factor (the number of appeals received) is subject to unpredictable variations year on year.  </w:t>
      </w:r>
      <w:r w:rsidRPr="00D874C5">
        <w:rPr>
          <w:color w:val="auto"/>
          <w:sz w:val="22"/>
          <w:szCs w:val="22"/>
        </w:rPr>
        <w:t>It will therefore be prudent to give consideration to an alternative measure for the success of comparable heritage policies in the upcoming Local Plan 2036.</w:t>
      </w:r>
    </w:p>
    <w:p w:rsidR="00EF0DA3" w:rsidRPr="00D874C5" w:rsidRDefault="00EF0DA3" w:rsidP="00126779">
      <w:pPr>
        <w:pStyle w:val="Default"/>
        <w:rPr>
          <w:color w:val="auto"/>
          <w:sz w:val="22"/>
          <w:szCs w:val="22"/>
        </w:rPr>
      </w:pPr>
    </w:p>
    <w:p w:rsidR="00126779" w:rsidRDefault="00EF0DA3" w:rsidP="00126779">
      <w:pPr>
        <w:pStyle w:val="Default"/>
        <w:rPr>
          <w:color w:val="0070C0"/>
          <w:sz w:val="22"/>
          <w:szCs w:val="22"/>
        </w:rPr>
      </w:pPr>
      <w:r w:rsidRPr="00351DD4">
        <w:rPr>
          <w:rFonts w:asciiTheme="minorHAnsi" w:eastAsia="Calibri" w:hAnsiTheme="minorHAnsi"/>
          <w:noProof/>
          <w:color w:val="244061" w:themeColor="accent1" w:themeShade="80"/>
          <w:sz w:val="8"/>
          <w:szCs w:val="22"/>
          <w:lang w:eastAsia="en-GB"/>
        </w:rPr>
        <mc:AlternateContent>
          <mc:Choice Requires="wps">
            <w:drawing>
              <wp:anchor distT="0" distB="0" distL="114300" distR="114300" simplePos="0" relativeHeight="251710464" behindDoc="1" locked="0" layoutInCell="1" allowOverlap="1" wp14:anchorId="24486F8E" wp14:editId="09EC6C30">
                <wp:simplePos x="0" y="0"/>
                <wp:positionH relativeFrom="column">
                  <wp:posOffset>-52705</wp:posOffset>
                </wp:positionH>
                <wp:positionV relativeFrom="paragraph">
                  <wp:posOffset>43815</wp:posOffset>
                </wp:positionV>
                <wp:extent cx="5885180" cy="1560195"/>
                <wp:effectExtent l="0" t="0" r="1270" b="1905"/>
                <wp:wrapNone/>
                <wp:docPr id="93" name="Rectangle 93"/>
                <wp:cNvGraphicFramePr/>
                <a:graphic xmlns:a="http://schemas.openxmlformats.org/drawingml/2006/main">
                  <a:graphicData uri="http://schemas.microsoft.com/office/word/2010/wordprocessingShape">
                    <wps:wsp>
                      <wps:cNvSpPr/>
                      <wps:spPr>
                        <a:xfrm>
                          <a:off x="0" y="0"/>
                          <a:ext cx="5885180" cy="156019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AD8B7F" id="Rectangle 93" o:spid="_x0000_s1026" style="position:absolute;margin-left:-4.15pt;margin-top:3.45pt;width:463.4pt;height:12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" fillcolor="#c3d69b" stroked="f" strokeweight="2pt"/>
            </w:pict>
          </mc:Fallback>
        </mc:AlternateContent>
      </w:r>
    </w:p>
    <w:p w:rsidR="00126779" w:rsidRPr="00D0457F" w:rsidRDefault="00F97D78" w:rsidP="00F97D78">
      <w:pPr>
        <w:pStyle w:val="Heading2"/>
      </w:pPr>
      <w:bookmarkStart w:id="39" w:name="_Toc529178369"/>
      <w:r w:rsidRPr="00D0457F">
        <w:t>INDICATOR 31: TREE PRESERVATION ORDERS (TPOS)</w:t>
      </w:r>
      <w:bookmarkEnd w:id="39"/>
    </w:p>
    <w:p w:rsidR="00126779" w:rsidRDefault="00126779" w:rsidP="00126779">
      <w:pPr>
        <w:pStyle w:val="Default"/>
        <w:rPr>
          <w:sz w:val="20"/>
          <w:szCs w:val="20"/>
        </w:rPr>
      </w:pPr>
      <w:r>
        <w:rPr>
          <w:b/>
          <w:bCs/>
          <w:sz w:val="22"/>
          <w:szCs w:val="22"/>
        </w:rPr>
        <w:t xml:space="preserve">Target: 0% of applications for felling trees that are the subject of a TPO to be approved by the City Council contrary to officers’ recommendations </w:t>
      </w:r>
      <w:r>
        <w:rPr>
          <w:sz w:val="20"/>
          <w:szCs w:val="20"/>
        </w:rPr>
        <w:t xml:space="preserve">(Oxford Core Strategy Policy CS18) </w:t>
      </w:r>
    </w:p>
    <w:p w:rsidR="00126779" w:rsidRDefault="00126779" w:rsidP="00126779">
      <w:pPr>
        <w:pStyle w:val="Default"/>
        <w:rPr>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EF0DA3" w:rsidRPr="00283314" w:rsidTr="003156B8">
        <w:trPr>
          <w:trHeight w:val="218"/>
        </w:trPr>
        <w:tc>
          <w:tcPr>
            <w:tcW w:w="5420" w:type="dxa"/>
          </w:tcPr>
          <w:p w:rsidR="00EF0DA3" w:rsidRPr="00283314" w:rsidRDefault="00EF0DA3" w:rsidP="003156B8">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w:t>
            </w:r>
            <w:r w:rsidRPr="00283314">
              <w:rPr>
                <w:rFonts w:cs="Calibri"/>
                <w:b/>
                <w:color w:val="632423" w:themeColor="accent2" w:themeShade="80"/>
                <w:szCs w:val="22"/>
              </w:rPr>
              <w:t>/1</w:t>
            </w:r>
            <w:r>
              <w:rPr>
                <w:rFonts w:cs="Calibri"/>
                <w:b/>
                <w:color w:val="632423" w:themeColor="accent2" w:themeShade="80"/>
                <w:szCs w:val="22"/>
              </w:rPr>
              <w:t>8</w:t>
            </w:r>
            <w:r w:rsidRPr="00283314">
              <w:rPr>
                <w:rFonts w:cs="Calibri"/>
                <w:b/>
                <w:color w:val="632423" w:themeColor="accent2" w:themeShade="80"/>
                <w:szCs w:val="22"/>
              </w:rPr>
              <w:t>:</w:t>
            </w:r>
          </w:p>
        </w:tc>
        <w:tc>
          <w:tcPr>
            <w:tcW w:w="3714" w:type="dxa"/>
            <w:gridSpan w:val="2"/>
          </w:tcPr>
          <w:p w:rsidR="00EF0DA3" w:rsidRPr="00283314" w:rsidRDefault="00EF0DA3" w:rsidP="003156B8">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EF0DA3" w:rsidRPr="00283314" w:rsidTr="003156B8">
        <w:tc>
          <w:tcPr>
            <w:tcW w:w="5420" w:type="dxa"/>
            <w:vMerge w:val="restart"/>
          </w:tcPr>
          <w:p w:rsidR="00EF0DA3" w:rsidRPr="009B0669" w:rsidRDefault="00EF0DA3" w:rsidP="003156B8">
            <w:pPr>
              <w:autoSpaceDE w:val="0"/>
              <w:autoSpaceDN w:val="0"/>
              <w:adjustRightInd w:val="0"/>
              <w:jc w:val="center"/>
              <w:rPr>
                <w:rFonts w:cs="Calibri"/>
                <w:b/>
                <w:color w:val="632423" w:themeColor="accent2" w:themeShade="80"/>
                <w:sz w:val="6"/>
                <w:szCs w:val="6"/>
              </w:rPr>
            </w:pPr>
          </w:p>
          <w:p w:rsidR="00EF0DA3" w:rsidRPr="00283314" w:rsidRDefault="00EF0DA3" w:rsidP="003156B8">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4DFF197F" wp14:editId="4E81EF7B">
                  <wp:extent cx="1388853" cy="418201"/>
                  <wp:effectExtent l="0" t="0" r="1905" b="1270"/>
                  <wp:docPr id="94" name="Picture 9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EF0DA3" w:rsidRPr="00283314" w:rsidRDefault="00EF0DA3" w:rsidP="003156B8">
            <w:pPr>
              <w:autoSpaceDE w:val="0"/>
              <w:autoSpaceDN w:val="0"/>
              <w:adjustRightInd w:val="0"/>
              <w:jc w:val="center"/>
              <w:rPr>
                <w:rFonts w:cs="Calibri"/>
                <w:b/>
                <w:color w:val="632423" w:themeColor="accent2" w:themeShade="80"/>
                <w:szCs w:val="22"/>
              </w:rPr>
            </w:pPr>
          </w:p>
          <w:p w:rsidR="00EF0DA3" w:rsidRPr="001A698B" w:rsidRDefault="00EF0DA3" w:rsidP="003156B8">
            <w:pPr>
              <w:autoSpaceDE w:val="0"/>
              <w:autoSpaceDN w:val="0"/>
              <w:adjustRightInd w:val="0"/>
              <w:jc w:val="center"/>
              <w:rPr>
                <w:rFonts w:cs="Calibri"/>
                <w:b/>
                <w:color w:val="632423" w:themeColor="accent2" w:themeShade="80"/>
                <w:sz w:val="14"/>
                <w:szCs w:val="22"/>
              </w:rPr>
            </w:pPr>
          </w:p>
        </w:tc>
        <w:tc>
          <w:tcPr>
            <w:tcW w:w="1101" w:type="dxa"/>
          </w:tcPr>
          <w:p w:rsidR="00EF0DA3" w:rsidRPr="00283314" w:rsidRDefault="00EF0DA3"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69CD336C" wp14:editId="003AAC1A">
                  <wp:extent cx="819150" cy="256182"/>
                  <wp:effectExtent l="0" t="0" r="0" b="0"/>
                  <wp:docPr id="95" name="Picture 9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EF0DA3" w:rsidRPr="00283314" w:rsidRDefault="00EF0DA3" w:rsidP="003156B8">
            <w:pPr>
              <w:autoSpaceDE w:val="0"/>
              <w:autoSpaceDN w:val="0"/>
              <w:adjustRightInd w:val="0"/>
              <w:jc w:val="center"/>
              <w:rPr>
                <w:rFonts w:cs="Calibri"/>
                <w:b/>
                <w:color w:val="632423" w:themeColor="accent2" w:themeShade="80"/>
                <w:sz w:val="8"/>
                <w:szCs w:val="8"/>
              </w:rPr>
            </w:pPr>
          </w:p>
        </w:tc>
      </w:tr>
      <w:tr w:rsidR="00EF0DA3" w:rsidRPr="00283314" w:rsidTr="003156B8">
        <w:tc>
          <w:tcPr>
            <w:tcW w:w="5420" w:type="dxa"/>
            <w:vMerge/>
          </w:tcPr>
          <w:p w:rsidR="00EF0DA3" w:rsidRPr="00283314" w:rsidRDefault="00EF0DA3" w:rsidP="003156B8">
            <w:pPr>
              <w:autoSpaceDE w:val="0"/>
              <w:autoSpaceDN w:val="0"/>
              <w:adjustRightInd w:val="0"/>
              <w:jc w:val="center"/>
              <w:rPr>
                <w:rFonts w:cs="Calibri"/>
                <w:b/>
                <w:color w:val="632423" w:themeColor="accent2" w:themeShade="80"/>
                <w:szCs w:val="22"/>
              </w:rPr>
            </w:pPr>
          </w:p>
        </w:tc>
        <w:tc>
          <w:tcPr>
            <w:tcW w:w="1101" w:type="dxa"/>
          </w:tcPr>
          <w:p w:rsidR="00EF0DA3" w:rsidRPr="00283314" w:rsidRDefault="00EF0DA3"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65E90A34" wp14:editId="383965E7">
                  <wp:extent cx="819150" cy="256182"/>
                  <wp:effectExtent l="0" t="0" r="0" b="0"/>
                  <wp:docPr id="133" name="Picture 13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Pr="00C4620B" w:rsidRDefault="00126779" w:rsidP="00126779">
      <w:pPr>
        <w:autoSpaceDE w:val="0"/>
        <w:autoSpaceDN w:val="0"/>
        <w:adjustRightInd w:val="0"/>
        <w:rPr>
          <w:rFonts w:cs="Calibri"/>
          <w:color w:val="000000"/>
          <w:szCs w:val="22"/>
        </w:rPr>
      </w:pPr>
      <w:r w:rsidRPr="00C4620B">
        <w:rPr>
          <w:rFonts w:cs="Calibri"/>
          <w:color w:val="000000"/>
          <w:szCs w:val="22"/>
        </w:rPr>
        <w:t>5.19 There were no permissions granted for the felling of trees subject to a TPO contrary to o</w:t>
      </w:r>
      <w:r>
        <w:rPr>
          <w:rFonts w:cs="Calibri"/>
          <w:color w:val="000000"/>
          <w:szCs w:val="22"/>
        </w:rPr>
        <w:t>fficers’ recommendations in 2017/18</w:t>
      </w:r>
      <w:r w:rsidRPr="00C4620B">
        <w:rPr>
          <w:rFonts w:cs="Calibri"/>
          <w:color w:val="000000"/>
          <w:szCs w:val="22"/>
        </w:rPr>
        <w:t xml:space="preserve">. </w:t>
      </w:r>
    </w:p>
    <w:p w:rsidR="00126779" w:rsidRDefault="00126779" w:rsidP="00126779">
      <w:pPr>
        <w:pStyle w:val="Default"/>
        <w:rPr>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p w:rsidR="00EF0DA3" w:rsidRDefault="00EF0DA3" w:rsidP="00126779">
      <w:pPr>
        <w:pStyle w:val="Default"/>
        <w:rPr>
          <w:b/>
          <w:color w:val="0070C0"/>
          <w:sz w:val="22"/>
          <w:szCs w:val="22"/>
        </w:rPr>
      </w:pPr>
    </w:p>
    <w:bookmarkStart w:id="40" w:name="_Toc529178370"/>
    <w:p w:rsidR="00126779" w:rsidRPr="00253CB0" w:rsidRDefault="00EF0DA3" w:rsidP="00F97D78">
      <w:pPr>
        <w:pStyle w:val="Heading2"/>
        <w:rPr>
          <w:color w:val="0070C0"/>
        </w:rPr>
      </w:pPr>
      <w:r w:rsidRPr="00EF0DA3">
        <w:rPr>
          <w:rFonts w:eastAsia="Calibri"/>
          <w:noProof/>
          <w:sz w:val="8"/>
        </w:rPr>
        <mc:AlternateContent>
          <mc:Choice Requires="wps">
            <w:drawing>
              <wp:anchor distT="0" distB="0" distL="114300" distR="114300" simplePos="0" relativeHeight="251712512" behindDoc="1" locked="0" layoutInCell="1" allowOverlap="1" wp14:anchorId="2168B3C1" wp14:editId="48C4C349">
                <wp:simplePos x="0" y="0"/>
                <wp:positionH relativeFrom="column">
                  <wp:posOffset>5102</wp:posOffset>
                </wp:positionH>
                <wp:positionV relativeFrom="paragraph">
                  <wp:posOffset>-76309</wp:posOffset>
                </wp:positionV>
                <wp:extent cx="5885180" cy="1560195"/>
                <wp:effectExtent l="0" t="0" r="1270" b="1905"/>
                <wp:wrapNone/>
                <wp:docPr id="137" name="Rectangle 137"/>
                <wp:cNvGraphicFramePr/>
                <a:graphic xmlns:a="http://schemas.openxmlformats.org/drawingml/2006/main">
                  <a:graphicData uri="http://schemas.microsoft.com/office/word/2010/wordprocessingShape">
                    <wps:wsp>
                      <wps:cNvSpPr/>
                      <wps:spPr>
                        <a:xfrm>
                          <a:off x="0" y="0"/>
                          <a:ext cx="5885180" cy="156019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A06EA7" id="Rectangle 137" o:spid="_x0000_s1026" style="position:absolute;margin-left:.4pt;margin-top:-6pt;width:463.4pt;height:12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" fillcolor="#c3d69b" stroked="f" strokeweight="2pt"/>
            </w:pict>
          </mc:Fallback>
        </mc:AlternateContent>
      </w:r>
      <w:r w:rsidR="00F97D78" w:rsidRPr="00EF0DA3">
        <w:t>INDICATOR 32: LOSS OF PUBLIC OPEN SPACE, OUTDOOR SPORTS AND RECREATION FACILITIES</w:t>
      </w:r>
      <w:bookmarkEnd w:id="40"/>
    </w:p>
    <w:p w:rsidR="00126779" w:rsidRDefault="00126779" w:rsidP="00126779">
      <w:pPr>
        <w:autoSpaceDE w:val="0"/>
        <w:autoSpaceDN w:val="0"/>
        <w:adjustRightInd w:val="0"/>
        <w:rPr>
          <w:sz w:val="20"/>
          <w:szCs w:val="20"/>
        </w:rPr>
      </w:pPr>
      <w:r>
        <w:rPr>
          <w:b/>
          <w:bCs/>
          <w:szCs w:val="22"/>
        </w:rPr>
        <w:t xml:space="preserve">Target: No net loss to other uses of publically accessible open space, outdoor sports and recreation facilities </w:t>
      </w:r>
      <w:r>
        <w:rPr>
          <w:sz w:val="20"/>
          <w:szCs w:val="20"/>
        </w:rPr>
        <w:t>(Oxford Core Strategy Policy CS21)</w:t>
      </w:r>
    </w:p>
    <w:p w:rsidR="00EF0DA3" w:rsidRDefault="00EF0DA3" w:rsidP="00126779">
      <w:pPr>
        <w:autoSpaceDE w:val="0"/>
        <w:autoSpaceDN w:val="0"/>
        <w:adjustRightInd w:val="0"/>
        <w:rPr>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EF0DA3" w:rsidRPr="00283314" w:rsidTr="003156B8">
        <w:trPr>
          <w:trHeight w:val="218"/>
        </w:trPr>
        <w:tc>
          <w:tcPr>
            <w:tcW w:w="5420" w:type="dxa"/>
          </w:tcPr>
          <w:p w:rsidR="00EF0DA3" w:rsidRPr="00283314" w:rsidRDefault="00EF0DA3" w:rsidP="003156B8">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2017</w:t>
            </w:r>
            <w:r w:rsidRPr="00283314">
              <w:rPr>
                <w:rFonts w:cs="Calibri"/>
                <w:b/>
                <w:color w:val="632423" w:themeColor="accent2" w:themeShade="80"/>
                <w:szCs w:val="22"/>
              </w:rPr>
              <w:t>/1</w:t>
            </w:r>
            <w:r>
              <w:rPr>
                <w:rFonts w:cs="Calibri"/>
                <w:b/>
                <w:color w:val="632423" w:themeColor="accent2" w:themeShade="80"/>
                <w:szCs w:val="22"/>
              </w:rPr>
              <w:t>8</w:t>
            </w:r>
            <w:r w:rsidRPr="00283314">
              <w:rPr>
                <w:rFonts w:cs="Calibri"/>
                <w:b/>
                <w:color w:val="632423" w:themeColor="accent2" w:themeShade="80"/>
                <w:szCs w:val="22"/>
              </w:rPr>
              <w:t>:</w:t>
            </w:r>
          </w:p>
        </w:tc>
        <w:tc>
          <w:tcPr>
            <w:tcW w:w="3714" w:type="dxa"/>
            <w:gridSpan w:val="2"/>
          </w:tcPr>
          <w:p w:rsidR="00EF0DA3" w:rsidRPr="00283314" w:rsidRDefault="00EF0DA3" w:rsidP="003156B8">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EF0DA3" w:rsidRPr="00283314" w:rsidTr="003156B8">
        <w:tc>
          <w:tcPr>
            <w:tcW w:w="5420" w:type="dxa"/>
            <w:vMerge w:val="restart"/>
          </w:tcPr>
          <w:p w:rsidR="00EF0DA3" w:rsidRPr="009B0669" w:rsidRDefault="00EF0DA3" w:rsidP="003156B8">
            <w:pPr>
              <w:autoSpaceDE w:val="0"/>
              <w:autoSpaceDN w:val="0"/>
              <w:adjustRightInd w:val="0"/>
              <w:jc w:val="center"/>
              <w:rPr>
                <w:rFonts w:cs="Calibri"/>
                <w:b/>
                <w:color w:val="632423" w:themeColor="accent2" w:themeShade="80"/>
                <w:sz w:val="6"/>
                <w:szCs w:val="6"/>
              </w:rPr>
            </w:pPr>
          </w:p>
          <w:p w:rsidR="00EF0DA3" w:rsidRPr="00283314" w:rsidRDefault="00EF0DA3" w:rsidP="003156B8">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4F80749C" wp14:editId="0E066ACD">
                  <wp:extent cx="1388853" cy="418201"/>
                  <wp:effectExtent l="0" t="0" r="1905" b="1270"/>
                  <wp:docPr id="140" name="Picture 14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EF0DA3" w:rsidRPr="00283314" w:rsidRDefault="00EF0DA3" w:rsidP="003156B8">
            <w:pPr>
              <w:autoSpaceDE w:val="0"/>
              <w:autoSpaceDN w:val="0"/>
              <w:adjustRightInd w:val="0"/>
              <w:jc w:val="center"/>
              <w:rPr>
                <w:rFonts w:cs="Calibri"/>
                <w:b/>
                <w:color w:val="632423" w:themeColor="accent2" w:themeShade="80"/>
                <w:szCs w:val="22"/>
              </w:rPr>
            </w:pPr>
          </w:p>
          <w:p w:rsidR="00EF0DA3" w:rsidRPr="001A698B" w:rsidRDefault="00EF0DA3" w:rsidP="003156B8">
            <w:pPr>
              <w:autoSpaceDE w:val="0"/>
              <w:autoSpaceDN w:val="0"/>
              <w:adjustRightInd w:val="0"/>
              <w:jc w:val="center"/>
              <w:rPr>
                <w:rFonts w:cs="Calibri"/>
                <w:b/>
                <w:color w:val="632423" w:themeColor="accent2" w:themeShade="80"/>
                <w:sz w:val="14"/>
                <w:szCs w:val="22"/>
              </w:rPr>
            </w:pPr>
          </w:p>
        </w:tc>
        <w:tc>
          <w:tcPr>
            <w:tcW w:w="1101" w:type="dxa"/>
          </w:tcPr>
          <w:p w:rsidR="00EF0DA3" w:rsidRPr="00283314" w:rsidRDefault="00EF0DA3"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Pr="00283314">
              <w:rPr>
                <w:rFonts w:cs="Calibri"/>
                <w:b/>
                <w:color w:val="632423" w:themeColor="accent2" w:themeShade="80"/>
                <w:szCs w:val="22"/>
              </w:rPr>
              <w:t>:</w:t>
            </w:r>
          </w:p>
        </w:tc>
        <w:tc>
          <w:tcPr>
            <w:tcW w:w="2613" w:type="dxa"/>
          </w:tcPr>
          <w:p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273C040E" wp14:editId="44744ECC">
                  <wp:extent cx="819150" cy="256182"/>
                  <wp:effectExtent l="0" t="0" r="0" b="0"/>
                  <wp:docPr id="141" name="Picture 14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EF0DA3" w:rsidRPr="00283314" w:rsidRDefault="00EF0DA3" w:rsidP="003156B8">
            <w:pPr>
              <w:autoSpaceDE w:val="0"/>
              <w:autoSpaceDN w:val="0"/>
              <w:adjustRightInd w:val="0"/>
              <w:jc w:val="center"/>
              <w:rPr>
                <w:rFonts w:cs="Calibri"/>
                <w:b/>
                <w:color w:val="632423" w:themeColor="accent2" w:themeShade="80"/>
                <w:sz w:val="8"/>
                <w:szCs w:val="8"/>
              </w:rPr>
            </w:pPr>
          </w:p>
        </w:tc>
      </w:tr>
      <w:tr w:rsidR="00EF0DA3" w:rsidRPr="00283314" w:rsidTr="003156B8">
        <w:tc>
          <w:tcPr>
            <w:tcW w:w="5420" w:type="dxa"/>
            <w:vMerge/>
          </w:tcPr>
          <w:p w:rsidR="00EF0DA3" w:rsidRPr="00283314" w:rsidRDefault="00EF0DA3" w:rsidP="003156B8">
            <w:pPr>
              <w:autoSpaceDE w:val="0"/>
              <w:autoSpaceDN w:val="0"/>
              <w:adjustRightInd w:val="0"/>
              <w:jc w:val="center"/>
              <w:rPr>
                <w:rFonts w:cs="Calibri"/>
                <w:b/>
                <w:color w:val="632423" w:themeColor="accent2" w:themeShade="80"/>
                <w:szCs w:val="22"/>
              </w:rPr>
            </w:pPr>
          </w:p>
        </w:tc>
        <w:tc>
          <w:tcPr>
            <w:tcW w:w="1101" w:type="dxa"/>
          </w:tcPr>
          <w:p w:rsidR="00EF0DA3" w:rsidRPr="00283314" w:rsidRDefault="00EF0DA3"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2015/16</w:t>
            </w:r>
            <w:r w:rsidRPr="00283314">
              <w:rPr>
                <w:rFonts w:cs="Calibri"/>
                <w:b/>
                <w:color w:val="632423" w:themeColor="accent2" w:themeShade="80"/>
                <w:szCs w:val="22"/>
              </w:rPr>
              <w:t>:</w:t>
            </w:r>
          </w:p>
        </w:tc>
        <w:tc>
          <w:tcPr>
            <w:tcW w:w="2613" w:type="dxa"/>
          </w:tcPr>
          <w:p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3CFFCD6A" wp14:editId="3C78252A">
                  <wp:extent cx="819150" cy="256182"/>
                  <wp:effectExtent l="0" t="0" r="0" b="0"/>
                  <wp:docPr id="143" name="Picture 14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126779" w:rsidRDefault="00126779" w:rsidP="00126779">
      <w:pPr>
        <w:autoSpaceDE w:val="0"/>
        <w:autoSpaceDN w:val="0"/>
        <w:adjustRightInd w:val="0"/>
        <w:rPr>
          <w:rFonts w:cs="Calibri"/>
          <w:color w:val="000000"/>
          <w:szCs w:val="22"/>
        </w:rPr>
      </w:pPr>
    </w:p>
    <w:p w:rsidR="00126779" w:rsidRPr="00EF0DA3" w:rsidRDefault="00126779" w:rsidP="00126779">
      <w:pPr>
        <w:autoSpaceDE w:val="0"/>
        <w:autoSpaceDN w:val="0"/>
        <w:adjustRightInd w:val="0"/>
        <w:rPr>
          <w:rFonts w:cs="Calibri"/>
          <w:szCs w:val="22"/>
        </w:rPr>
      </w:pPr>
      <w:r w:rsidRPr="00EF0DA3">
        <w:rPr>
          <w:rFonts w:cs="Calibri"/>
          <w:szCs w:val="22"/>
        </w:rPr>
        <w:t xml:space="preserve">5.20 </w:t>
      </w:r>
      <w:r w:rsidRPr="00EF0DA3">
        <w:rPr>
          <w:rFonts w:cs="Calibri"/>
          <w:szCs w:val="22"/>
        </w:rPr>
        <w:tab/>
        <w:t xml:space="preserve">Public open space, outdoor sports and recreation facilities provide a range of benefits including helping to support health and wellbeing. No planning applications were permitted where there would be a net loss of publicly accessible open space, outdoor sports or recreation facilities in 2017/18. </w:t>
      </w:r>
    </w:p>
    <w:p w:rsidR="00126779" w:rsidRPr="00EF0DA3" w:rsidRDefault="00126779" w:rsidP="00126779">
      <w:pPr>
        <w:autoSpaceDE w:val="0"/>
        <w:autoSpaceDN w:val="0"/>
        <w:adjustRightInd w:val="0"/>
        <w:rPr>
          <w:rFonts w:cs="Calibri"/>
          <w:szCs w:val="22"/>
        </w:rPr>
      </w:pPr>
    </w:p>
    <w:p w:rsidR="00126779" w:rsidRDefault="00126779" w:rsidP="00126779">
      <w:pPr>
        <w:autoSpaceDE w:val="0"/>
        <w:autoSpaceDN w:val="0"/>
        <w:adjustRightInd w:val="0"/>
        <w:rPr>
          <w:rFonts w:cs="Calibri"/>
          <w:szCs w:val="22"/>
        </w:rPr>
      </w:pPr>
      <w:r w:rsidRPr="00EF0DA3">
        <w:rPr>
          <w:rFonts w:cs="Calibri"/>
          <w:szCs w:val="22"/>
        </w:rPr>
        <w:t>5.21</w:t>
      </w:r>
      <w:r w:rsidRPr="00EF0DA3">
        <w:rPr>
          <w:rFonts w:cs="Calibri"/>
          <w:szCs w:val="22"/>
        </w:rPr>
        <w:tab/>
        <w:t>Planning permissions have been granted for a number of applications that are small in scale or directly opposite/adjacent to protected spaces, such as community halls, sports pavilions.  None of the applications have comprised of developments that would result in a meaningful loss of open spaces.</w:t>
      </w:r>
    </w:p>
    <w:p w:rsidR="00EF0DA3" w:rsidRPr="00EF0DA3" w:rsidRDefault="00EF0DA3" w:rsidP="00126779">
      <w:pPr>
        <w:autoSpaceDE w:val="0"/>
        <w:autoSpaceDN w:val="0"/>
        <w:adjustRightInd w:val="0"/>
        <w:rPr>
          <w:rFonts w:cs="Calibri"/>
          <w:szCs w:val="22"/>
        </w:rPr>
      </w:pPr>
    </w:p>
    <w:p w:rsidR="00126779" w:rsidRDefault="00126779" w:rsidP="00126779">
      <w:pPr>
        <w:pStyle w:val="Default"/>
        <w:rPr>
          <w:color w:val="0070C0"/>
          <w:sz w:val="22"/>
          <w:szCs w:val="22"/>
        </w:rPr>
      </w:pPr>
      <w:r w:rsidRPr="008F62FB">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96128" behindDoc="1" locked="0" layoutInCell="1" allowOverlap="1" wp14:anchorId="683684F0" wp14:editId="0E96CC5F">
                <wp:simplePos x="0" y="0"/>
                <wp:positionH relativeFrom="column">
                  <wp:posOffset>0</wp:posOffset>
                </wp:positionH>
                <wp:positionV relativeFrom="paragraph">
                  <wp:posOffset>68580</wp:posOffset>
                </wp:positionV>
                <wp:extent cx="5904230" cy="1762125"/>
                <wp:effectExtent l="0" t="0" r="1270" b="9525"/>
                <wp:wrapNone/>
                <wp:docPr id="70" name="Rectangle 70"/>
                <wp:cNvGraphicFramePr/>
                <a:graphic xmlns:a="http://schemas.openxmlformats.org/drawingml/2006/main">
                  <a:graphicData uri="http://schemas.microsoft.com/office/word/2010/wordprocessingShape">
                    <wps:wsp>
                      <wps:cNvSpPr/>
                      <wps:spPr>
                        <a:xfrm>
                          <a:off x="0" y="0"/>
                          <a:ext cx="5904230" cy="17621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FF452E" id="Rectangle 70" o:spid="_x0000_s1026" style="position:absolute;margin-left:0;margin-top:5.4pt;width:464.9pt;height:13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" fillcolor="#c3d69b" stroked="f" strokeweight="2pt"/>
            </w:pict>
          </mc:Fallback>
        </mc:AlternateContent>
      </w:r>
    </w:p>
    <w:p w:rsidR="00126779" w:rsidRPr="000E7501" w:rsidRDefault="00126779" w:rsidP="00F97D78">
      <w:pPr>
        <w:pStyle w:val="Heading2"/>
      </w:pPr>
      <w:bookmarkStart w:id="41" w:name="_Toc529178371"/>
      <w:r w:rsidRPr="000E7501">
        <w:t>INDICATOR 33: TRAFFIC GROWTH AT INNER AND OUTER CORDONS</w:t>
      </w:r>
      <w:bookmarkEnd w:id="41"/>
    </w:p>
    <w:p w:rsidR="00126779" w:rsidRDefault="00126779" w:rsidP="00126779">
      <w:pPr>
        <w:ind w:left="85"/>
        <w:rPr>
          <w:rFonts w:eastAsia="Calibri" w:cs="Calibri"/>
          <w:b/>
          <w:color w:val="3F4F21"/>
          <w:szCs w:val="22"/>
        </w:rPr>
      </w:pPr>
    </w:p>
    <w:p w:rsidR="00126779" w:rsidRPr="000E7501" w:rsidRDefault="00126779" w:rsidP="00126779">
      <w:pPr>
        <w:ind w:left="85"/>
        <w:rPr>
          <w:rFonts w:eastAsia="Calibri" w:cs="Times New Roman"/>
          <w:b/>
          <w:bCs/>
          <w:color w:val="3F4F21"/>
          <w:szCs w:val="22"/>
        </w:rPr>
      </w:pPr>
      <w:r w:rsidRPr="000E7501">
        <w:rPr>
          <w:rFonts w:eastAsia="Calibri" w:cs="Calibri"/>
          <w:b/>
          <w:color w:val="3F4F21"/>
          <w:szCs w:val="22"/>
        </w:rPr>
        <w:t xml:space="preserve">Target:  </w:t>
      </w:r>
      <w:r w:rsidRPr="000E7501">
        <w:rPr>
          <w:rFonts w:eastAsia="Calibri" w:cs="Times New Roman"/>
          <w:b/>
          <w:bCs/>
          <w:color w:val="3F4F21"/>
          <w:szCs w:val="22"/>
        </w:rPr>
        <w:t>Inner Cordon - no more than 0% growth</w:t>
      </w:r>
    </w:p>
    <w:p w:rsidR="00126779" w:rsidRPr="000E7501" w:rsidRDefault="00126779" w:rsidP="00126779">
      <w:pPr>
        <w:spacing w:line="276" w:lineRule="auto"/>
        <w:rPr>
          <w:rFonts w:eastAsia="Calibri" w:cs="Times New Roman"/>
          <w:b/>
          <w:color w:val="3F4F21"/>
          <w:szCs w:val="22"/>
        </w:rPr>
      </w:pPr>
      <w:r w:rsidRPr="000E7501">
        <w:rPr>
          <w:rFonts w:eastAsia="Calibri" w:cs="Times New Roman"/>
          <w:b/>
          <w:color w:val="3F4F21"/>
          <w:szCs w:val="22"/>
        </w:rPr>
        <w:t xml:space="preserve">                Outer Cordon - no more than 0.2% average annual growth </w:t>
      </w:r>
      <w:r w:rsidRPr="000E7501">
        <w:rPr>
          <w:rFonts w:eastAsia="Calibri" w:cs="Calibri"/>
          <w:color w:val="4F6228" w:themeColor="accent3" w:themeShade="80"/>
          <w:sz w:val="20"/>
          <w:szCs w:val="22"/>
        </w:rPr>
        <w:t>(Oxford Core Strategy Policy CS14)</w:t>
      </w:r>
    </w:p>
    <w:p w:rsidR="00126779" w:rsidRPr="000E7501" w:rsidRDefault="00126779" w:rsidP="00126779">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0E7501" w:rsidTr="00126779">
        <w:trPr>
          <w:trHeight w:val="218"/>
        </w:trPr>
        <w:tc>
          <w:tcPr>
            <w:tcW w:w="5420" w:type="dxa"/>
          </w:tcPr>
          <w:p w:rsidR="00126779" w:rsidRPr="000E7501" w:rsidRDefault="00126779" w:rsidP="00126779">
            <w:pPr>
              <w:autoSpaceDE w:val="0"/>
              <w:autoSpaceDN w:val="0"/>
              <w:adjustRightInd w:val="0"/>
              <w:rPr>
                <w:rFonts w:eastAsia="Calibri" w:cs="Calibri"/>
                <w:b/>
                <w:color w:val="3F4F21"/>
                <w:sz w:val="20"/>
                <w:szCs w:val="22"/>
              </w:rPr>
            </w:pPr>
            <w:r w:rsidRPr="000E7501">
              <w:rPr>
                <w:rFonts w:eastAsia="Calibri" w:cs="Calibri"/>
                <w:b/>
                <w:color w:val="3F4F21"/>
                <w:sz w:val="20"/>
                <w:szCs w:val="22"/>
              </w:rPr>
              <w:t>Pe</w:t>
            </w:r>
            <w:r>
              <w:rPr>
                <w:rFonts w:eastAsia="Calibri" w:cs="Calibri"/>
                <w:b/>
                <w:color w:val="3F4F21"/>
                <w:sz w:val="20"/>
                <w:szCs w:val="22"/>
              </w:rPr>
              <w:t>rformance against target 2017/18</w:t>
            </w:r>
            <w:r w:rsidRPr="000E7501">
              <w:rPr>
                <w:rFonts w:eastAsia="Calibri" w:cs="Calibri"/>
                <w:b/>
                <w:color w:val="3F4F21"/>
                <w:sz w:val="20"/>
                <w:szCs w:val="22"/>
              </w:rPr>
              <w:t>:</w:t>
            </w:r>
          </w:p>
          <w:p w:rsidR="00126779" w:rsidRPr="000E7501" w:rsidRDefault="00126779" w:rsidP="00126779">
            <w:pPr>
              <w:autoSpaceDE w:val="0"/>
              <w:autoSpaceDN w:val="0"/>
              <w:adjustRightInd w:val="0"/>
              <w:rPr>
                <w:b/>
                <w:noProof/>
                <w:color w:val="3F4F21"/>
                <w:sz w:val="10"/>
                <w:szCs w:val="10"/>
                <w:lang w:eastAsia="en-GB"/>
              </w:rPr>
            </w:pPr>
          </w:p>
        </w:tc>
        <w:tc>
          <w:tcPr>
            <w:tcW w:w="3714" w:type="dxa"/>
            <w:gridSpan w:val="2"/>
          </w:tcPr>
          <w:p w:rsidR="00126779" w:rsidRPr="000E7501" w:rsidRDefault="00126779" w:rsidP="00126779">
            <w:pPr>
              <w:autoSpaceDE w:val="0"/>
              <w:autoSpaceDN w:val="0"/>
              <w:adjustRightInd w:val="0"/>
              <w:rPr>
                <w:rFonts w:eastAsia="Calibri" w:cs="Calibri"/>
                <w:b/>
                <w:color w:val="3F4F21"/>
                <w:sz w:val="20"/>
                <w:szCs w:val="22"/>
              </w:rPr>
            </w:pPr>
            <w:r w:rsidRPr="000E7501">
              <w:rPr>
                <w:rFonts w:eastAsia="Calibri" w:cs="Calibri"/>
                <w:b/>
                <w:color w:val="3F4F21"/>
                <w:sz w:val="20"/>
                <w:szCs w:val="22"/>
              </w:rPr>
              <w:t>Performance in previous two years:</w:t>
            </w:r>
          </w:p>
          <w:p w:rsidR="00126779" w:rsidRPr="000E7501" w:rsidRDefault="00126779" w:rsidP="00126779">
            <w:pPr>
              <w:autoSpaceDE w:val="0"/>
              <w:autoSpaceDN w:val="0"/>
              <w:adjustRightInd w:val="0"/>
              <w:rPr>
                <w:rFonts w:eastAsia="Calibri" w:cs="Calibri"/>
                <w:b/>
                <w:color w:val="3F4F21"/>
                <w:sz w:val="4"/>
                <w:szCs w:val="4"/>
              </w:rPr>
            </w:pPr>
          </w:p>
        </w:tc>
      </w:tr>
      <w:tr w:rsidR="00126779" w:rsidRPr="000E7501" w:rsidTr="00126779">
        <w:tc>
          <w:tcPr>
            <w:tcW w:w="5420" w:type="dxa"/>
            <w:vMerge w:val="restart"/>
          </w:tcPr>
          <w:p w:rsidR="00126779" w:rsidRPr="000E7501" w:rsidRDefault="00126779" w:rsidP="00126779">
            <w:pPr>
              <w:autoSpaceDE w:val="0"/>
              <w:autoSpaceDN w:val="0"/>
              <w:adjustRightInd w:val="0"/>
              <w:jc w:val="center"/>
              <w:rPr>
                <w:rFonts w:eastAsia="Calibri" w:cs="Calibri"/>
                <w:b/>
                <w:color w:val="3F4F21"/>
                <w:sz w:val="8"/>
                <w:szCs w:val="8"/>
              </w:rPr>
            </w:pPr>
          </w:p>
          <w:p w:rsidR="00126779" w:rsidRPr="000E7501" w:rsidRDefault="00126779" w:rsidP="00126779">
            <w:pPr>
              <w:autoSpaceDE w:val="0"/>
              <w:autoSpaceDN w:val="0"/>
              <w:adjustRightInd w:val="0"/>
              <w:jc w:val="center"/>
              <w:rPr>
                <w:rFonts w:eastAsia="Calibri" w:cs="Calibri"/>
                <w:b/>
                <w:color w:val="3F4F21"/>
                <w:sz w:val="12"/>
                <w:szCs w:val="12"/>
              </w:rPr>
            </w:pPr>
            <w:r w:rsidRPr="000E7501">
              <w:rPr>
                <w:b/>
                <w:noProof/>
                <w:sz w:val="32"/>
                <w:szCs w:val="32"/>
                <w:lang w:eastAsia="en-GB"/>
              </w:rPr>
              <w:drawing>
                <wp:inline distT="0" distB="0" distL="0" distR="0" wp14:anchorId="4A2B228A" wp14:editId="73D8F3A7">
                  <wp:extent cx="1340085" cy="419100"/>
                  <wp:effectExtent l="0" t="0" r="0" b="0"/>
                  <wp:docPr id="44" name="Picture 4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596" cy="422387"/>
                          </a:xfrm>
                          <a:prstGeom prst="rect">
                            <a:avLst/>
                          </a:prstGeom>
                          <a:noFill/>
                          <a:ln>
                            <a:noFill/>
                          </a:ln>
                        </pic:spPr>
                      </pic:pic>
                    </a:graphicData>
                  </a:graphic>
                </wp:inline>
              </w:drawing>
            </w:r>
          </w:p>
        </w:tc>
        <w:tc>
          <w:tcPr>
            <w:tcW w:w="1101" w:type="dxa"/>
          </w:tcPr>
          <w:p w:rsidR="00126779" w:rsidRPr="000E7501" w:rsidRDefault="00126779" w:rsidP="00126779">
            <w:pPr>
              <w:autoSpaceDE w:val="0"/>
              <w:autoSpaceDN w:val="0"/>
              <w:adjustRightInd w:val="0"/>
              <w:rPr>
                <w:rFonts w:eastAsia="Calibri" w:cs="Calibri"/>
                <w:b/>
                <w:color w:val="3F4F21"/>
                <w:sz w:val="20"/>
                <w:szCs w:val="22"/>
              </w:rPr>
            </w:pPr>
            <w:r>
              <w:rPr>
                <w:rFonts w:eastAsia="Calibri" w:cs="Calibri"/>
                <w:b/>
                <w:color w:val="3F4F21"/>
                <w:sz w:val="20"/>
                <w:szCs w:val="22"/>
              </w:rPr>
              <w:t>2016/17</w:t>
            </w:r>
            <w:r w:rsidRPr="000E7501">
              <w:rPr>
                <w:rFonts w:eastAsia="Calibri" w:cs="Calibri"/>
                <w:b/>
                <w:color w:val="3F4F21"/>
                <w:sz w:val="20"/>
                <w:szCs w:val="22"/>
              </w:rPr>
              <w:t>:</w:t>
            </w:r>
          </w:p>
        </w:tc>
        <w:tc>
          <w:tcPr>
            <w:tcW w:w="2613" w:type="dxa"/>
          </w:tcPr>
          <w:p w:rsidR="00126779" w:rsidRPr="000E7501" w:rsidRDefault="00126779" w:rsidP="00126779">
            <w:pPr>
              <w:autoSpaceDE w:val="0"/>
              <w:autoSpaceDN w:val="0"/>
              <w:adjustRightInd w:val="0"/>
              <w:rPr>
                <w:rFonts w:eastAsia="Calibri" w:cs="Calibri"/>
                <w:b/>
                <w:color w:val="3F4F21"/>
                <w:szCs w:val="22"/>
              </w:rPr>
            </w:pPr>
            <w:r w:rsidRPr="000E7501">
              <w:rPr>
                <w:b/>
                <w:noProof/>
                <w:sz w:val="28"/>
                <w:szCs w:val="32"/>
                <w:lang w:eastAsia="en-GB"/>
              </w:rPr>
              <w:drawing>
                <wp:inline distT="0" distB="0" distL="0" distR="0" wp14:anchorId="6508409B" wp14:editId="08A36C94">
                  <wp:extent cx="819150" cy="255469"/>
                  <wp:effectExtent l="0" t="0" r="0" b="0"/>
                  <wp:docPr id="45" name="Picture 4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p w:rsidR="00126779" w:rsidRPr="000E7501" w:rsidRDefault="00126779" w:rsidP="00126779">
            <w:pPr>
              <w:autoSpaceDE w:val="0"/>
              <w:autoSpaceDN w:val="0"/>
              <w:adjustRightInd w:val="0"/>
              <w:jc w:val="center"/>
              <w:rPr>
                <w:rFonts w:eastAsia="Calibri" w:cs="Calibri"/>
                <w:b/>
                <w:color w:val="3F4F21"/>
                <w:sz w:val="10"/>
                <w:szCs w:val="10"/>
              </w:rPr>
            </w:pPr>
          </w:p>
        </w:tc>
      </w:tr>
      <w:tr w:rsidR="00126779" w:rsidRPr="000E7501" w:rsidTr="00126779">
        <w:tc>
          <w:tcPr>
            <w:tcW w:w="5420" w:type="dxa"/>
            <w:vMerge/>
          </w:tcPr>
          <w:p w:rsidR="00126779" w:rsidRPr="000E7501" w:rsidRDefault="00126779" w:rsidP="00126779">
            <w:pPr>
              <w:autoSpaceDE w:val="0"/>
              <w:autoSpaceDN w:val="0"/>
              <w:adjustRightInd w:val="0"/>
              <w:jc w:val="center"/>
              <w:rPr>
                <w:rFonts w:eastAsia="Calibri" w:cs="Calibri"/>
                <w:b/>
                <w:color w:val="3F4F21"/>
                <w:szCs w:val="22"/>
              </w:rPr>
            </w:pPr>
          </w:p>
        </w:tc>
        <w:tc>
          <w:tcPr>
            <w:tcW w:w="1101" w:type="dxa"/>
          </w:tcPr>
          <w:p w:rsidR="00126779" w:rsidRPr="000E7501" w:rsidRDefault="00126779" w:rsidP="00126779">
            <w:pPr>
              <w:autoSpaceDE w:val="0"/>
              <w:autoSpaceDN w:val="0"/>
              <w:adjustRightInd w:val="0"/>
              <w:rPr>
                <w:rFonts w:eastAsia="Calibri" w:cs="Calibri"/>
                <w:b/>
                <w:color w:val="3F4F21"/>
                <w:sz w:val="20"/>
                <w:szCs w:val="22"/>
              </w:rPr>
            </w:pPr>
            <w:r>
              <w:rPr>
                <w:rFonts w:eastAsia="Calibri" w:cs="Calibri"/>
                <w:b/>
                <w:color w:val="3F4F21"/>
                <w:sz w:val="20"/>
                <w:szCs w:val="22"/>
              </w:rPr>
              <w:t>2015/16</w:t>
            </w:r>
            <w:r w:rsidRPr="000E7501">
              <w:rPr>
                <w:rFonts w:eastAsia="Calibri" w:cs="Calibri"/>
                <w:b/>
                <w:color w:val="3F4F21"/>
                <w:sz w:val="20"/>
                <w:szCs w:val="22"/>
              </w:rPr>
              <w:t>:</w:t>
            </w:r>
          </w:p>
        </w:tc>
        <w:tc>
          <w:tcPr>
            <w:tcW w:w="2613" w:type="dxa"/>
          </w:tcPr>
          <w:p w:rsidR="00126779" w:rsidRPr="000E7501" w:rsidRDefault="00126779" w:rsidP="00126779">
            <w:pPr>
              <w:autoSpaceDE w:val="0"/>
              <w:autoSpaceDN w:val="0"/>
              <w:adjustRightInd w:val="0"/>
              <w:rPr>
                <w:rFonts w:eastAsia="Calibri" w:cs="Calibri"/>
                <w:b/>
                <w:color w:val="3F4F21"/>
                <w:sz w:val="20"/>
                <w:szCs w:val="20"/>
              </w:rPr>
            </w:pPr>
            <w:r w:rsidRPr="000E7501">
              <w:rPr>
                <w:b/>
                <w:noProof/>
                <w:sz w:val="28"/>
                <w:szCs w:val="32"/>
                <w:lang w:eastAsia="en-GB"/>
              </w:rPr>
              <w:drawing>
                <wp:inline distT="0" distB="0" distL="0" distR="0" wp14:anchorId="00891D52" wp14:editId="27368511">
                  <wp:extent cx="819150" cy="255469"/>
                  <wp:effectExtent l="0" t="0" r="0" b="0"/>
                  <wp:docPr id="46" name="Picture 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tc>
      </w:tr>
    </w:tbl>
    <w:p w:rsidR="00126779" w:rsidRDefault="00126779" w:rsidP="00126779">
      <w:pPr>
        <w:pStyle w:val="Default"/>
        <w:rPr>
          <w:color w:val="0070C0"/>
          <w:sz w:val="22"/>
          <w:szCs w:val="22"/>
        </w:rPr>
      </w:pPr>
    </w:p>
    <w:p w:rsidR="00126779" w:rsidRDefault="00126779" w:rsidP="00126779">
      <w:pPr>
        <w:pStyle w:val="Default"/>
        <w:rPr>
          <w:color w:val="0070C0"/>
          <w:sz w:val="22"/>
          <w:szCs w:val="22"/>
        </w:rPr>
      </w:pPr>
    </w:p>
    <w:p w:rsidR="00126779" w:rsidRDefault="00126779" w:rsidP="00126779">
      <w:pPr>
        <w:autoSpaceDE w:val="0"/>
        <w:autoSpaceDN w:val="0"/>
        <w:adjustRightInd w:val="0"/>
        <w:rPr>
          <w:rFonts w:cs="Calibri"/>
          <w:color w:val="000000"/>
          <w:szCs w:val="22"/>
        </w:rPr>
      </w:pPr>
      <w:r w:rsidRPr="00916C93">
        <w:rPr>
          <w:rFonts w:cs="Calibri"/>
          <w:color w:val="000000"/>
          <w:szCs w:val="22"/>
        </w:rPr>
        <w:t xml:space="preserve">5.28 </w:t>
      </w:r>
      <w:r>
        <w:rPr>
          <w:rFonts w:cs="Calibri"/>
          <w:color w:val="000000"/>
          <w:szCs w:val="22"/>
        </w:rPr>
        <w:tab/>
      </w:r>
      <w:r w:rsidRPr="00916C93">
        <w:rPr>
          <w:rFonts w:cs="Calibri"/>
          <w:color w:val="000000"/>
          <w:szCs w:val="22"/>
        </w:rPr>
        <w:t xml:space="preserve">Oxfordshire County Council monitors traffic flows at two ‘cordons’ in Oxford. The inner cordon count provides an indication of the average number of vehicles entering the city centre on any given weekday, whilst the outer cordon count provides an indication of the number of vehicles entering Oxford from beyond the city boundary on any given weekday. </w:t>
      </w: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EF0DA3" w:rsidRDefault="00EF0DA3" w:rsidP="00126779">
      <w:pPr>
        <w:autoSpaceDE w:val="0"/>
        <w:autoSpaceDN w:val="0"/>
        <w:adjustRightInd w:val="0"/>
        <w:rPr>
          <w:rFonts w:cs="Calibri"/>
          <w:color w:val="000000"/>
          <w:szCs w:val="22"/>
        </w:rPr>
      </w:pPr>
    </w:p>
    <w:p w:rsidR="00126779" w:rsidRDefault="00126779" w:rsidP="00126779">
      <w:pPr>
        <w:rPr>
          <w:color w:val="FF0000"/>
        </w:rPr>
      </w:pPr>
    </w:p>
    <w:p w:rsidR="00126779" w:rsidRDefault="00126779" w:rsidP="00126779">
      <w:pPr>
        <w:rPr>
          <w:color w:val="FF0000"/>
        </w:rPr>
      </w:pPr>
      <w:r>
        <w:rPr>
          <w:noProof/>
          <w:color w:val="FF0000"/>
          <w:lang w:eastAsia="en-GB"/>
        </w:rPr>
        <w:lastRenderedPageBreak/>
        <w:drawing>
          <wp:anchor distT="0" distB="0" distL="114300" distR="114300" simplePos="0" relativeHeight="251695104" behindDoc="0" locked="0" layoutInCell="1" allowOverlap="1" wp14:anchorId="719BB271" wp14:editId="7D199983">
            <wp:simplePos x="0" y="0"/>
            <wp:positionH relativeFrom="column">
              <wp:posOffset>-162560</wp:posOffset>
            </wp:positionH>
            <wp:positionV relativeFrom="paragraph">
              <wp:posOffset>38735</wp:posOffset>
            </wp:positionV>
            <wp:extent cx="5827395" cy="3113405"/>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7395" cy="3113405"/>
                    </a:xfrm>
                    <a:prstGeom prst="rect">
                      <a:avLst/>
                    </a:prstGeom>
                    <a:noFill/>
                  </pic:spPr>
                </pic:pic>
              </a:graphicData>
            </a:graphic>
            <wp14:sizeRelH relativeFrom="page">
              <wp14:pctWidth>0</wp14:pctWidth>
            </wp14:sizeRelH>
            <wp14:sizeRelV relativeFrom="page">
              <wp14:pctHeight>0</wp14:pctHeight>
            </wp14:sizeRelV>
          </wp:anchor>
        </w:drawing>
      </w:r>
    </w:p>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Default="00126779" w:rsidP="00126779"/>
    <w:p w:rsidR="00126779" w:rsidRPr="00580D55" w:rsidRDefault="00126779" w:rsidP="00126779"/>
    <w:p w:rsidR="00126779" w:rsidRPr="006E2E58" w:rsidRDefault="00126779" w:rsidP="00126779">
      <w:pPr>
        <w:rPr>
          <w:color w:val="0070C0"/>
        </w:rPr>
      </w:pPr>
    </w:p>
    <w:p w:rsidR="00EF0DA3" w:rsidRDefault="00EF0DA3" w:rsidP="00126779">
      <w:pPr>
        <w:autoSpaceDE w:val="0"/>
        <w:autoSpaceDN w:val="0"/>
        <w:adjustRightInd w:val="0"/>
        <w:rPr>
          <w:rFonts w:cs="Calibri"/>
          <w:szCs w:val="22"/>
        </w:rPr>
      </w:pPr>
    </w:p>
    <w:p w:rsidR="00F47862" w:rsidRDefault="00F47862" w:rsidP="00126779">
      <w:pPr>
        <w:autoSpaceDE w:val="0"/>
        <w:autoSpaceDN w:val="0"/>
        <w:adjustRightInd w:val="0"/>
        <w:rPr>
          <w:rFonts w:cs="Calibri"/>
          <w:szCs w:val="22"/>
        </w:rPr>
      </w:pPr>
      <w:r>
        <w:rPr>
          <w:rFonts w:cs="Calibri"/>
          <w:szCs w:val="22"/>
        </w:rPr>
        <w:t>Figure 8: Traffic flows in Oxford at inner and outer cordons 2007-2017</w:t>
      </w:r>
    </w:p>
    <w:p w:rsidR="00F47862" w:rsidRDefault="00F47862" w:rsidP="00126779">
      <w:pPr>
        <w:autoSpaceDE w:val="0"/>
        <w:autoSpaceDN w:val="0"/>
        <w:adjustRightInd w:val="0"/>
        <w:rPr>
          <w:rFonts w:cs="Calibri"/>
          <w:szCs w:val="22"/>
        </w:rPr>
      </w:pPr>
    </w:p>
    <w:p w:rsidR="00126779" w:rsidRPr="00140BC7" w:rsidRDefault="00126779" w:rsidP="00126779">
      <w:pPr>
        <w:autoSpaceDE w:val="0"/>
        <w:autoSpaceDN w:val="0"/>
        <w:adjustRightInd w:val="0"/>
        <w:rPr>
          <w:rFonts w:cs="Calibri"/>
          <w:szCs w:val="22"/>
        </w:rPr>
      </w:pPr>
      <w:r w:rsidRPr="00140BC7">
        <w:rPr>
          <w:rFonts w:cs="Calibri"/>
          <w:szCs w:val="22"/>
        </w:rPr>
        <w:t>5.29 Figure 8 shows that the number of vehicles travelling into the city centre (inner cordon) has decreased relatively consistently since the Core Strategy 2006 baseline (36,000 vehicles).   Following the small spike in the previous monitoring period, the number of vehicles measured in the traffic flow of the inner cordon has reduced by 1.59% which resumes the downward trend in the figures and remains significantly below the 2006 baseline.</w:t>
      </w:r>
    </w:p>
    <w:p w:rsidR="00126779" w:rsidRPr="00140BC7" w:rsidRDefault="00126779" w:rsidP="00126779">
      <w:pPr>
        <w:autoSpaceDE w:val="0"/>
        <w:autoSpaceDN w:val="0"/>
        <w:adjustRightInd w:val="0"/>
        <w:rPr>
          <w:rFonts w:cs="Calibri"/>
        </w:rPr>
      </w:pPr>
    </w:p>
    <w:p w:rsidR="00126779" w:rsidRPr="00140BC7" w:rsidRDefault="00126779" w:rsidP="00126779">
      <w:pPr>
        <w:pStyle w:val="Default"/>
        <w:rPr>
          <w:color w:val="auto"/>
          <w:sz w:val="22"/>
          <w:szCs w:val="22"/>
        </w:rPr>
      </w:pPr>
      <w:r w:rsidRPr="00140BC7">
        <w:rPr>
          <w:color w:val="auto"/>
          <w:sz w:val="22"/>
          <w:szCs w:val="22"/>
        </w:rPr>
        <w:t>5.30 The number of vehicles travelling into Oxford from across the city boundary (outer cordon) has shown a greater amount of fluctuation since the 2006 baseline. This is possibly due to the introduction of additional monitoring locations in 2010, resulting in a higher volume of traffic registered from that year, and a faulty receptor in 2013, meaning the data for that year shows less traffic.   The fluctuating trends continued in 2017, which saw a 10% reduction in the number of vehicles travelling into Oxford compared to the previous monitoring year.  This reduction means that the outer cordon figure falls well below the 2006 baseline, although it should be noted that data was not available this year f</w:t>
      </w:r>
      <w:r w:rsidR="00EF0DA3">
        <w:rPr>
          <w:color w:val="auto"/>
          <w:sz w:val="22"/>
          <w:szCs w:val="22"/>
        </w:rPr>
        <w:t>rom one of the counting points.</w:t>
      </w:r>
    </w:p>
    <w:p w:rsidR="00126779" w:rsidRPr="00140BC7" w:rsidRDefault="00126779" w:rsidP="00126779">
      <w:pPr>
        <w:autoSpaceDE w:val="0"/>
        <w:autoSpaceDN w:val="0"/>
        <w:adjustRightInd w:val="0"/>
        <w:rPr>
          <w:rFonts w:cs="Calibri"/>
        </w:rPr>
      </w:pPr>
    </w:p>
    <w:p w:rsidR="00126779" w:rsidRPr="00140BC7" w:rsidRDefault="00126779" w:rsidP="00126779">
      <w:pPr>
        <w:autoSpaceDE w:val="0"/>
        <w:autoSpaceDN w:val="0"/>
        <w:adjustRightInd w:val="0"/>
        <w:rPr>
          <w:rFonts w:cs="Calibri"/>
          <w:szCs w:val="22"/>
        </w:rPr>
      </w:pPr>
      <w:r w:rsidRPr="00140BC7">
        <w:rPr>
          <w:rFonts w:cs="Calibri"/>
          <w:szCs w:val="22"/>
        </w:rPr>
        <w:t>5.31 The data shows that for the current monitoring period there has been a downward trend in traffic flows at both cordons with the figures remaining on target.   The positive reports notwithstanding, the issue of traffic flows and their management remains a difficult issue for the City Council to manage in the context of rapid population growth both within the city and the surrounding area, with many people commuting into Oxford from the wider city-region for work, leisure, he</w:t>
      </w:r>
      <w:r w:rsidR="001351EB">
        <w:rPr>
          <w:rFonts w:cs="Calibri"/>
          <w:szCs w:val="22"/>
        </w:rPr>
        <w:t>alth and education services.  It</w:t>
      </w:r>
      <w:r w:rsidRPr="00140BC7">
        <w:rPr>
          <w:rFonts w:cs="Calibri"/>
          <w:szCs w:val="22"/>
        </w:rPr>
        <w:t xml:space="preserve"> remains to be seen whether the figures are part of an established trend or a temporary fluctuation.   The City Council will meanwhile continue with various measures to encourage more sustainable travel options than private cars.  A City Centre Movement and P</w:t>
      </w:r>
      <w:r w:rsidR="001351EB">
        <w:rPr>
          <w:rFonts w:cs="Calibri"/>
          <w:szCs w:val="22"/>
        </w:rPr>
        <w:t xml:space="preserve">ublic Realm Study </w:t>
      </w:r>
      <w:proofErr w:type="gramStart"/>
      <w:r w:rsidR="001351EB">
        <w:rPr>
          <w:rFonts w:cs="Calibri"/>
          <w:szCs w:val="22"/>
        </w:rPr>
        <w:t>was</w:t>
      </w:r>
      <w:proofErr w:type="gramEnd"/>
      <w:r w:rsidRPr="00140BC7">
        <w:rPr>
          <w:rFonts w:cs="Calibri"/>
          <w:szCs w:val="22"/>
        </w:rPr>
        <w:t xml:space="preserve"> commissioned in partnership with the County Council to support work on the emerging Local Plan 2036</w:t>
      </w:r>
      <w:r w:rsidR="001351EB">
        <w:rPr>
          <w:rFonts w:cs="Calibri"/>
          <w:szCs w:val="22"/>
        </w:rPr>
        <w:t xml:space="preserve"> in September 2017</w:t>
      </w:r>
      <w:r w:rsidRPr="00140BC7">
        <w:rPr>
          <w:rFonts w:cs="Calibri"/>
          <w:szCs w:val="22"/>
        </w:rPr>
        <w:t>.</w:t>
      </w:r>
      <w:r w:rsidR="001351EB">
        <w:rPr>
          <w:rFonts w:cs="Calibri"/>
          <w:szCs w:val="22"/>
        </w:rPr>
        <w:t xml:space="preserve"> The report was published in July 2018.</w:t>
      </w:r>
      <w:r w:rsidRPr="00140BC7">
        <w:rPr>
          <w:rFonts w:cs="Calibri"/>
          <w:szCs w:val="22"/>
        </w:rPr>
        <w:t xml:space="preserve"> </w:t>
      </w:r>
    </w:p>
    <w:p w:rsidR="00126779" w:rsidRPr="00580D55" w:rsidRDefault="00126779" w:rsidP="00126779"/>
    <w:p w:rsidR="0027137A" w:rsidRDefault="0027137A" w:rsidP="008A22C6"/>
    <w:p w:rsidR="0027137A" w:rsidRDefault="0027137A" w:rsidP="008A22C6"/>
    <w:p w:rsidR="0027137A" w:rsidRDefault="0027137A" w:rsidP="0027137A">
      <w:pPr>
        <w:keepNext/>
        <w:keepLines/>
        <w:outlineLvl w:val="0"/>
        <w:rPr>
          <w:rFonts w:asciiTheme="minorHAnsi" w:eastAsia="Calibri" w:hAnsiTheme="minorHAnsi" w:cstheme="majorBidi"/>
          <w:b/>
          <w:bCs/>
          <w:sz w:val="32"/>
          <w:szCs w:val="28"/>
        </w:rPr>
      </w:pPr>
      <w:bookmarkStart w:id="42" w:name="_Toc529178372"/>
      <w:r w:rsidRPr="00567C69">
        <w:rPr>
          <w:rFonts w:asciiTheme="minorHAnsi" w:eastAsia="Calibri" w:hAnsiTheme="minorHAnsi" w:cstheme="majorBidi"/>
          <w:b/>
          <w:bCs/>
          <w:sz w:val="32"/>
          <w:szCs w:val="28"/>
        </w:rPr>
        <w:lastRenderedPageBreak/>
        <w:t>An Efficient and Effective Council</w:t>
      </w:r>
      <w:bookmarkEnd w:id="42"/>
    </w:p>
    <w:p w:rsidR="00552E28" w:rsidRPr="00567C69" w:rsidRDefault="00552E28" w:rsidP="0027137A">
      <w:pPr>
        <w:keepNext/>
        <w:keepLines/>
        <w:outlineLvl w:val="0"/>
        <w:rPr>
          <w:rFonts w:asciiTheme="minorHAnsi" w:eastAsia="Calibri" w:hAnsiTheme="minorHAnsi" w:cstheme="majorBidi"/>
          <w:b/>
          <w:bCs/>
          <w:sz w:val="32"/>
          <w:szCs w:val="28"/>
        </w:rPr>
      </w:pPr>
    </w:p>
    <w:p w:rsidR="0027137A" w:rsidRPr="00FA15C3" w:rsidRDefault="0027137A" w:rsidP="0027137A">
      <w:pPr>
        <w:shd w:val="clear" w:color="auto" w:fill="E5DFEC" w:themeFill="accent4" w:themeFillTint="33"/>
        <w:outlineLvl w:val="1"/>
        <w:rPr>
          <w:rFonts w:asciiTheme="minorHAnsi" w:hAnsiTheme="minorHAnsi"/>
          <w:b/>
          <w:sz w:val="24"/>
          <w:lang w:eastAsia="en-GB"/>
        </w:rPr>
      </w:pPr>
      <w:bookmarkStart w:id="43" w:name="_Toc529178373"/>
      <w:r w:rsidRPr="00FA15C3">
        <w:rPr>
          <w:rFonts w:asciiTheme="minorHAnsi" w:hAnsiTheme="minorHAnsi"/>
          <w:b/>
          <w:sz w:val="24"/>
          <w:lang w:eastAsia="en-GB"/>
        </w:rPr>
        <w:t>LOCAL DEVELOPMENT SCHEME MONITORING</w:t>
      </w:r>
      <w:bookmarkEnd w:id="43"/>
      <w:r w:rsidRPr="00FA15C3">
        <w:rPr>
          <w:rFonts w:asciiTheme="minorHAnsi" w:hAnsiTheme="minorHAnsi"/>
          <w:b/>
          <w:sz w:val="24"/>
          <w:lang w:eastAsia="en-GB"/>
        </w:rPr>
        <w:t xml:space="preserve"> </w:t>
      </w:r>
    </w:p>
    <w:p w:rsidR="0027137A" w:rsidRPr="00FA15C3" w:rsidRDefault="0027137A" w:rsidP="0027137A">
      <w:pPr>
        <w:spacing w:line="276" w:lineRule="auto"/>
        <w:jc w:val="both"/>
        <w:rPr>
          <w:rFonts w:eastAsia="Calibri" w:cs="Times New Roman"/>
          <w:sz w:val="10"/>
          <w:szCs w:val="10"/>
        </w:rPr>
      </w:pPr>
    </w:p>
    <w:p w:rsidR="0027137A" w:rsidRPr="00C579F8" w:rsidRDefault="0027137A" w:rsidP="0027137A">
      <w:pPr>
        <w:numPr>
          <w:ilvl w:val="1"/>
          <w:numId w:val="17"/>
        </w:numPr>
        <w:spacing w:after="200" w:line="276" w:lineRule="auto"/>
        <w:jc w:val="both"/>
        <w:rPr>
          <w:rFonts w:asciiTheme="minorHAnsi" w:hAnsiTheme="minorHAnsi"/>
          <w:b/>
          <w:sz w:val="24"/>
          <w:lang w:eastAsia="en-GB"/>
        </w:rPr>
      </w:pPr>
      <w:r w:rsidRPr="00C579F8">
        <w:rPr>
          <w:rFonts w:cs="Calibri"/>
          <w:szCs w:val="22"/>
        </w:rPr>
        <w:t xml:space="preserve">The Local Development Scheme (LDS) is a project plan that sets out timescales for the preparation and revision of documents in Oxford’s Local Plan and other planning policy documents.  The LDS provides details on what each document will contain and the geographical area it will cover.  The LDS for this monitoring year was the LDS 2016-2019.  A new LDS for Oxford was opted in June 2018 and covers the period 2018-2021. </w:t>
      </w:r>
    </w:p>
    <w:p w:rsidR="0027137A" w:rsidRPr="00C579F8" w:rsidRDefault="0027137A" w:rsidP="0027137A">
      <w:pPr>
        <w:numPr>
          <w:ilvl w:val="1"/>
          <w:numId w:val="17"/>
        </w:numPr>
        <w:spacing w:after="200" w:line="276" w:lineRule="auto"/>
        <w:jc w:val="both"/>
        <w:rPr>
          <w:rFonts w:asciiTheme="minorHAnsi" w:hAnsiTheme="minorHAnsi"/>
          <w:lang w:eastAsia="en-GB"/>
        </w:rPr>
      </w:pPr>
      <w:r w:rsidRPr="00C579F8">
        <w:rPr>
          <w:rFonts w:asciiTheme="minorHAnsi" w:hAnsiTheme="minorHAnsi"/>
          <w:lang w:eastAsia="en-GB"/>
        </w:rPr>
        <w:t xml:space="preserve">As set out in the LDS, the City Council is currently working on producing a new Local Plan that will shape development in Oxford up to 2036.  When adopted, the Local Plan 2036 will replace the Core Strategy, Sites and Housing Plan and the saved policies of the Oxford Local Plan 2001-2016.  </w:t>
      </w:r>
    </w:p>
    <w:tbl>
      <w:tblPr>
        <w:tblStyle w:val="TableGrid8"/>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235"/>
        <w:gridCol w:w="2126"/>
        <w:gridCol w:w="4881"/>
      </w:tblGrid>
      <w:tr w:rsidR="0027137A" w:rsidRPr="007D3D10" w:rsidTr="00292336">
        <w:tc>
          <w:tcPr>
            <w:tcW w:w="2235" w:type="dxa"/>
            <w:shd w:val="clear" w:color="auto" w:fill="E5DFEC" w:themeFill="accent4" w:themeFillTint="33"/>
            <w:vAlign w:val="center"/>
          </w:tcPr>
          <w:p w:rsidR="0027137A" w:rsidRPr="00933C84" w:rsidRDefault="0027137A" w:rsidP="00292336">
            <w:pPr>
              <w:jc w:val="center"/>
              <w:rPr>
                <w:b/>
                <w:color w:val="262626" w:themeColor="text1" w:themeTint="D9"/>
                <w:sz w:val="20"/>
              </w:rPr>
            </w:pPr>
            <w:r w:rsidRPr="00933C84">
              <w:rPr>
                <w:b/>
                <w:color w:val="262626" w:themeColor="text1" w:themeTint="D9"/>
                <w:sz w:val="20"/>
              </w:rPr>
              <w:t>Document title</w:t>
            </w:r>
          </w:p>
        </w:tc>
        <w:tc>
          <w:tcPr>
            <w:tcW w:w="2126" w:type="dxa"/>
            <w:shd w:val="clear" w:color="auto" w:fill="E5DFEC" w:themeFill="accent4" w:themeFillTint="33"/>
            <w:vAlign w:val="center"/>
          </w:tcPr>
          <w:p w:rsidR="0027137A" w:rsidRPr="00933C84" w:rsidRDefault="0027137A" w:rsidP="00292336">
            <w:pPr>
              <w:jc w:val="center"/>
              <w:rPr>
                <w:b/>
                <w:color w:val="262626" w:themeColor="text1" w:themeTint="D9"/>
                <w:sz w:val="20"/>
              </w:rPr>
            </w:pPr>
            <w:r w:rsidRPr="00933C84">
              <w:rPr>
                <w:b/>
                <w:color w:val="262626" w:themeColor="text1" w:themeTint="D9"/>
                <w:sz w:val="20"/>
              </w:rPr>
              <w:t>LDS timescale</w:t>
            </w:r>
          </w:p>
          <w:p w:rsidR="0027137A" w:rsidRPr="00933C84" w:rsidRDefault="0027137A" w:rsidP="00292336">
            <w:pPr>
              <w:jc w:val="center"/>
              <w:rPr>
                <w:color w:val="262626" w:themeColor="text1" w:themeTint="D9"/>
                <w:sz w:val="20"/>
              </w:rPr>
            </w:pPr>
            <w:r w:rsidRPr="00933C84">
              <w:rPr>
                <w:color w:val="262626" w:themeColor="text1" w:themeTint="D9"/>
                <w:sz w:val="20"/>
              </w:rPr>
              <w:t>(as relevant to the monitoring period)</w:t>
            </w:r>
          </w:p>
        </w:tc>
        <w:tc>
          <w:tcPr>
            <w:tcW w:w="4881" w:type="dxa"/>
            <w:shd w:val="clear" w:color="auto" w:fill="E5DFEC" w:themeFill="accent4" w:themeFillTint="33"/>
            <w:vAlign w:val="center"/>
          </w:tcPr>
          <w:p w:rsidR="0027137A" w:rsidRPr="00933C84" w:rsidRDefault="0027137A" w:rsidP="00292336">
            <w:pPr>
              <w:jc w:val="center"/>
              <w:rPr>
                <w:b/>
                <w:color w:val="262626" w:themeColor="text1" w:themeTint="D9"/>
                <w:sz w:val="20"/>
              </w:rPr>
            </w:pPr>
            <w:r>
              <w:rPr>
                <w:b/>
                <w:color w:val="262626" w:themeColor="text1" w:themeTint="D9"/>
                <w:sz w:val="20"/>
              </w:rPr>
              <w:t>Progress during the 2017/18</w:t>
            </w:r>
            <w:r w:rsidRPr="00933C84">
              <w:rPr>
                <w:b/>
                <w:color w:val="262626" w:themeColor="text1" w:themeTint="D9"/>
                <w:sz w:val="20"/>
              </w:rPr>
              <w:t xml:space="preserve"> monitoring year</w:t>
            </w:r>
          </w:p>
        </w:tc>
      </w:tr>
      <w:tr w:rsidR="0027137A" w:rsidRPr="007D3D10" w:rsidTr="00292336">
        <w:tc>
          <w:tcPr>
            <w:tcW w:w="2235" w:type="dxa"/>
          </w:tcPr>
          <w:p w:rsidR="0027137A" w:rsidRPr="00C579F8" w:rsidRDefault="0027137A" w:rsidP="00292336">
            <w:pPr>
              <w:rPr>
                <w:sz w:val="20"/>
              </w:rPr>
            </w:pPr>
            <w:r w:rsidRPr="00C579F8">
              <w:rPr>
                <w:sz w:val="20"/>
              </w:rPr>
              <w:t>Oxford Local Plan 2036</w:t>
            </w:r>
          </w:p>
        </w:tc>
        <w:tc>
          <w:tcPr>
            <w:tcW w:w="2126" w:type="dxa"/>
          </w:tcPr>
          <w:p w:rsidR="0027137A" w:rsidRPr="00C579F8" w:rsidRDefault="0027137A" w:rsidP="00292336">
            <w:pPr>
              <w:rPr>
                <w:sz w:val="20"/>
              </w:rPr>
            </w:pPr>
            <w:r w:rsidRPr="00C579F8">
              <w:rPr>
                <w:sz w:val="20"/>
              </w:rPr>
              <w:t xml:space="preserve">Preferred Options Consultation </w:t>
            </w:r>
          </w:p>
        </w:tc>
        <w:tc>
          <w:tcPr>
            <w:tcW w:w="4881" w:type="dxa"/>
          </w:tcPr>
          <w:p w:rsidR="0027137A" w:rsidRPr="00C579F8" w:rsidRDefault="0027137A" w:rsidP="00292336">
            <w:pPr>
              <w:rPr>
                <w:sz w:val="20"/>
              </w:rPr>
            </w:pPr>
            <w:r w:rsidRPr="00C579F8">
              <w:rPr>
                <w:sz w:val="20"/>
              </w:rPr>
              <w:t xml:space="preserve">The preferred options consultation was carried out in Summer 2017 in line with the LDS timescales.  Following the close of the consultation the results were summarised and taken into consideration in the production of the Oxford Local Plan Proposed Submission Document. </w:t>
            </w:r>
          </w:p>
        </w:tc>
      </w:tr>
    </w:tbl>
    <w:p w:rsidR="0027137A" w:rsidRDefault="0027137A" w:rsidP="0027137A">
      <w:pPr>
        <w:spacing w:after="200"/>
        <w:jc w:val="center"/>
        <w:rPr>
          <w:rFonts w:cs="Calibri"/>
          <w:sz w:val="20"/>
          <w:szCs w:val="18"/>
        </w:rPr>
      </w:pPr>
      <w:r>
        <w:rPr>
          <w:rFonts w:cs="Calibri"/>
          <w:b/>
          <w:sz w:val="20"/>
        </w:rPr>
        <w:t>Table 27</w:t>
      </w:r>
      <w:r w:rsidRPr="007D3D10">
        <w:rPr>
          <w:rFonts w:cs="Calibri"/>
          <w:b/>
          <w:sz w:val="20"/>
        </w:rPr>
        <w:t>:</w:t>
      </w:r>
      <w:r w:rsidRPr="007D3D10">
        <w:rPr>
          <w:rFonts w:cs="Calibri"/>
        </w:rPr>
        <w:t xml:space="preserve"> </w:t>
      </w:r>
      <w:r w:rsidRPr="007D3D10">
        <w:rPr>
          <w:rFonts w:cs="Calibri"/>
          <w:sz w:val="20"/>
          <w:szCs w:val="18"/>
        </w:rPr>
        <w:t>Progress against Local Devel</w:t>
      </w:r>
      <w:r>
        <w:rPr>
          <w:rFonts w:cs="Calibri"/>
          <w:sz w:val="20"/>
          <w:szCs w:val="18"/>
        </w:rPr>
        <w:t>opment Scheme timescales in 2017/18</w:t>
      </w:r>
    </w:p>
    <w:p w:rsidR="0027137A" w:rsidRDefault="0027137A" w:rsidP="0027137A">
      <w:pPr>
        <w:pStyle w:val="ListParagraph"/>
        <w:numPr>
          <w:ilvl w:val="1"/>
          <w:numId w:val="17"/>
        </w:numPr>
      </w:pPr>
      <w:r>
        <w:t xml:space="preserve">A Joint Spatial Strategic Plan (JSSP) is also being prepared which will contain strategic policies for Oxfordshire for the period to 2050. </w:t>
      </w:r>
    </w:p>
    <w:p w:rsidR="0027137A" w:rsidRPr="00C579F8" w:rsidRDefault="0027137A" w:rsidP="0027137A">
      <w:pPr>
        <w:pStyle w:val="ListParagraph"/>
        <w:ind w:left="360"/>
      </w:pPr>
    </w:p>
    <w:p w:rsidR="0027137A" w:rsidRPr="009B364F" w:rsidRDefault="0027137A" w:rsidP="0027137A">
      <w:pPr>
        <w:shd w:val="clear" w:color="auto" w:fill="E5DFEC" w:themeFill="accent4" w:themeFillTint="33"/>
        <w:spacing w:after="240"/>
        <w:outlineLvl w:val="1"/>
        <w:rPr>
          <w:rFonts w:asciiTheme="minorHAnsi" w:hAnsiTheme="minorHAnsi"/>
          <w:b/>
          <w:sz w:val="24"/>
          <w:lang w:eastAsia="en-GB"/>
        </w:rPr>
      </w:pPr>
      <w:bookmarkStart w:id="44" w:name="_Toc529178374"/>
      <w:r w:rsidRPr="009B364F">
        <w:rPr>
          <w:rFonts w:asciiTheme="minorHAnsi" w:hAnsiTheme="minorHAnsi"/>
          <w:b/>
          <w:sz w:val="24"/>
          <w:lang w:eastAsia="en-GB"/>
        </w:rPr>
        <w:t>DUTY TO COOPERATE MONITORING</w:t>
      </w:r>
      <w:bookmarkEnd w:id="44"/>
      <w:r w:rsidRPr="009B364F">
        <w:rPr>
          <w:rFonts w:asciiTheme="minorHAnsi" w:hAnsiTheme="minorHAnsi"/>
          <w:b/>
          <w:sz w:val="24"/>
          <w:lang w:eastAsia="en-GB"/>
        </w:rPr>
        <w:t xml:space="preserve"> </w:t>
      </w:r>
    </w:p>
    <w:p w:rsidR="0027137A" w:rsidRPr="009B364F" w:rsidRDefault="0027137A" w:rsidP="0027137A">
      <w:pPr>
        <w:numPr>
          <w:ilvl w:val="1"/>
          <w:numId w:val="17"/>
        </w:numPr>
        <w:spacing w:after="200" w:line="276" w:lineRule="auto"/>
        <w:ind w:left="567" w:hanging="567"/>
        <w:jc w:val="both"/>
        <w:rPr>
          <w:rFonts w:asciiTheme="minorHAnsi" w:hAnsiTheme="minorHAnsi"/>
          <w:b/>
          <w:sz w:val="24"/>
          <w:lang w:eastAsia="en-GB"/>
        </w:rPr>
      </w:pPr>
      <w:r w:rsidRPr="009B364F">
        <w:rPr>
          <w:rFonts w:eastAsia="Calibri" w:cs="Times New Roman"/>
        </w:rPr>
        <w:t xml:space="preserve">The Duty to Cooperate, introduced by the Localism Act 2011, requires on-going, constructive collaboration and active engagement with neighbouring authorities and other statutory bodies when preparing Local Plan documents. </w:t>
      </w:r>
    </w:p>
    <w:p w:rsidR="0027137A" w:rsidRPr="009B364F" w:rsidRDefault="0027137A" w:rsidP="0027137A">
      <w:pPr>
        <w:numPr>
          <w:ilvl w:val="1"/>
          <w:numId w:val="17"/>
        </w:numPr>
        <w:spacing w:after="200" w:line="276" w:lineRule="auto"/>
        <w:ind w:left="567" w:hanging="567"/>
        <w:jc w:val="both"/>
        <w:rPr>
          <w:rFonts w:asciiTheme="minorHAnsi" w:hAnsiTheme="minorHAnsi"/>
          <w:b/>
          <w:sz w:val="24"/>
          <w:lang w:eastAsia="en-GB"/>
        </w:rPr>
      </w:pPr>
      <w:r w:rsidRPr="009B364F">
        <w:rPr>
          <w:rFonts w:eastAsia="Calibri" w:cs="Times New Roman"/>
        </w:rPr>
        <w:t xml:space="preserve">The City Council has also been actively involved in a number of on-going joint-working and partnership relationships, which help to inform a shared evidence base for plan making and addressing strategic and cross-boundary issues.  This includes the Oxfordshire Growth Board; the Oxfordshire Local Enterprise Partnership (LEP); the Oxford Strategic Partnership; the Oxfordshire Local Transport Board; the Oxfordshire Leaders Group; the Oxfordshire Chief Executives Group; City and County Bilateral meetings; the Oxfordshire Area Flood Partnership; the Oxford Regeneration Programme Partnership; and the Oxfordshire Planning Policy Officers Group. These meetings are attended either by lead members and/or by a range of senior officers. Engagement with other stakeholders about Duty to Cooperate matters is also important for the Local Plan 2036, and commentary about those processes is provided in more detail in the Local Plan Consultation Statement. </w:t>
      </w:r>
    </w:p>
    <w:p w:rsidR="0027137A" w:rsidRPr="00EF5140" w:rsidRDefault="00814252" w:rsidP="00814252">
      <w:pPr>
        <w:numPr>
          <w:ilvl w:val="1"/>
          <w:numId w:val="17"/>
        </w:numPr>
        <w:spacing w:after="200" w:line="276" w:lineRule="auto"/>
        <w:ind w:left="567" w:hanging="567"/>
        <w:jc w:val="both"/>
        <w:rPr>
          <w:rFonts w:asciiTheme="minorHAnsi" w:hAnsiTheme="minorHAnsi"/>
          <w:b/>
          <w:sz w:val="24"/>
          <w:lang w:eastAsia="en-GB"/>
        </w:rPr>
      </w:pPr>
      <w:r w:rsidRPr="00EF5140">
        <w:rPr>
          <w:rFonts w:eastAsia="Calibri" w:cs="Times New Roman"/>
        </w:rPr>
        <w:t xml:space="preserve">A detailed Duty to Cooperate Statement is being prepared which will outline the scope and nature of engagement, both formal and informal, and the impact this cooperation has had on </w:t>
      </w:r>
      <w:r w:rsidR="00EF5140" w:rsidRPr="00EF5140">
        <w:rPr>
          <w:rFonts w:eastAsia="Calibri" w:cs="Times New Roman"/>
        </w:rPr>
        <w:lastRenderedPageBreak/>
        <w:t xml:space="preserve">decisions made by the Council, including which planning policies have been put forward and why. </w:t>
      </w:r>
    </w:p>
    <w:p w:rsidR="0027137A" w:rsidRPr="00FA15C3" w:rsidRDefault="0027137A" w:rsidP="0027137A">
      <w:pPr>
        <w:shd w:val="clear" w:color="auto" w:fill="E5DFEC" w:themeFill="accent4" w:themeFillTint="33"/>
        <w:spacing w:after="240"/>
        <w:outlineLvl w:val="1"/>
        <w:rPr>
          <w:rFonts w:asciiTheme="minorHAnsi" w:hAnsiTheme="minorHAnsi"/>
          <w:b/>
          <w:sz w:val="24"/>
          <w:lang w:eastAsia="en-GB"/>
        </w:rPr>
      </w:pPr>
      <w:bookmarkStart w:id="45" w:name="_Toc529178375"/>
      <w:r w:rsidRPr="00FA15C3">
        <w:rPr>
          <w:rFonts w:asciiTheme="minorHAnsi" w:hAnsiTheme="minorHAnsi"/>
          <w:b/>
          <w:sz w:val="24"/>
          <w:lang w:eastAsia="en-GB"/>
        </w:rPr>
        <w:t>NEIGHBOURHOOD PLAN MONITORING</w:t>
      </w:r>
      <w:bookmarkEnd w:id="45"/>
    </w:p>
    <w:p w:rsidR="0027137A" w:rsidRPr="0029277F" w:rsidRDefault="0027137A" w:rsidP="0027137A">
      <w:pPr>
        <w:numPr>
          <w:ilvl w:val="1"/>
          <w:numId w:val="17"/>
        </w:numPr>
        <w:spacing w:after="200" w:line="276" w:lineRule="auto"/>
        <w:ind w:left="567" w:hanging="567"/>
        <w:jc w:val="both"/>
        <w:rPr>
          <w:rFonts w:eastAsia="Calibri" w:cs="Times New Roman"/>
          <w:b/>
          <w:color w:val="403152" w:themeColor="accent4" w:themeShade="80"/>
          <w:szCs w:val="22"/>
        </w:rPr>
      </w:pPr>
      <w:r w:rsidRPr="0029277F">
        <w:rPr>
          <w:rFonts w:eastAsia="Calibri" w:cs="Times New Roman"/>
          <w:szCs w:val="22"/>
        </w:rPr>
        <w:t xml:space="preserve">The 2011 Localism Act introduced new powers for communities that enable them to be directly involved in planning for their areas. Neighbourhood planning allows communities to come together through a parish council or neighbourhood forum to produce a neighbourhood plan. Neighbourhood plans are about developing land in a way that is sympathetic to the needs of local stakeholders and that gives local people a greater say in where new development should go and what it should look like. Once plans are adopted they will become an important consideration when making decisions on planning applications.  </w:t>
      </w:r>
    </w:p>
    <w:p w:rsidR="0027137A" w:rsidRPr="0029277F" w:rsidRDefault="0027137A" w:rsidP="0027137A">
      <w:pPr>
        <w:spacing w:after="200" w:line="276" w:lineRule="auto"/>
        <w:jc w:val="both"/>
        <w:rPr>
          <w:rFonts w:eastAsia="Calibri" w:cs="Times New Roman"/>
          <w:b/>
          <w:color w:val="403152" w:themeColor="accent4" w:themeShade="80"/>
          <w:szCs w:val="22"/>
        </w:rPr>
      </w:pPr>
      <w:r w:rsidRPr="0029277F">
        <w:rPr>
          <w:rFonts w:eastAsia="Calibri" w:cs="Times New Roman"/>
          <w:b/>
          <w:color w:val="403152" w:themeColor="accent4" w:themeShade="80"/>
          <w:szCs w:val="22"/>
        </w:rPr>
        <w:t xml:space="preserve">Headington Neighbourhood Plan </w:t>
      </w:r>
    </w:p>
    <w:p w:rsidR="0027137A" w:rsidRPr="00F47862" w:rsidRDefault="0027137A" w:rsidP="0027137A">
      <w:pPr>
        <w:numPr>
          <w:ilvl w:val="1"/>
          <w:numId w:val="17"/>
        </w:numPr>
        <w:spacing w:after="200" w:line="276" w:lineRule="auto"/>
        <w:ind w:left="567" w:hanging="567"/>
        <w:jc w:val="both"/>
        <w:rPr>
          <w:rFonts w:eastAsia="Calibri" w:cs="Times New Roman"/>
          <w:color w:val="000000" w:themeColor="text1"/>
          <w:szCs w:val="22"/>
        </w:rPr>
      </w:pPr>
      <w:r w:rsidRPr="00F47862">
        <w:rPr>
          <w:rFonts w:eastAsia="Calibri" w:cs="Times New Roman"/>
          <w:color w:val="000000" w:themeColor="text1"/>
          <w:szCs w:val="22"/>
        </w:rPr>
        <w:t xml:space="preserve">On 4 May 2017, the Headington Neighbourhood Plan was successful at the Headington Referendum, with 3,310 people (85% of voters) voting for Oxford City Council to use the plan for Headington to help it decide planning applications in the neighbourhood area.  Following this positive result, the plan was formally made at the Full Council meeting of 20 July 2017.  The Headington Neighbourhood Plan now forms part of the development plan and has been subsequently used in to help determine planning applications in the Headington Neighbourhood Area. </w:t>
      </w:r>
    </w:p>
    <w:p w:rsidR="0027137A" w:rsidRPr="00FA15C3" w:rsidRDefault="0027137A" w:rsidP="0027137A">
      <w:pPr>
        <w:spacing w:line="276" w:lineRule="auto"/>
        <w:jc w:val="both"/>
        <w:rPr>
          <w:rFonts w:eastAsia="Calibri" w:cs="Times New Roman"/>
          <w:b/>
          <w:color w:val="403152" w:themeColor="accent4" w:themeShade="80"/>
          <w:szCs w:val="22"/>
        </w:rPr>
      </w:pPr>
      <w:r w:rsidRPr="00FA15C3">
        <w:rPr>
          <w:rFonts w:eastAsia="Calibri" w:cs="Times New Roman"/>
          <w:b/>
          <w:color w:val="403152" w:themeColor="accent4" w:themeShade="80"/>
          <w:szCs w:val="22"/>
        </w:rPr>
        <w:t>Summertown and St Margaret’s Neighbourhood Plan</w:t>
      </w:r>
    </w:p>
    <w:p w:rsidR="0027137A" w:rsidRPr="00486846" w:rsidRDefault="0027137A" w:rsidP="0027137A">
      <w:pPr>
        <w:numPr>
          <w:ilvl w:val="1"/>
          <w:numId w:val="17"/>
        </w:numPr>
        <w:spacing w:after="200" w:line="276" w:lineRule="auto"/>
        <w:ind w:left="567" w:hanging="567"/>
        <w:jc w:val="both"/>
        <w:rPr>
          <w:rFonts w:eastAsia="Calibri" w:cs="Times New Roman"/>
          <w:b/>
          <w:color w:val="403152" w:themeColor="accent4" w:themeShade="80"/>
          <w:szCs w:val="22"/>
        </w:rPr>
      </w:pPr>
      <w:r w:rsidRPr="00567C69">
        <w:rPr>
          <w:rFonts w:eastAsia="Calibri" w:cs="Times New Roman"/>
          <w:szCs w:val="22"/>
        </w:rPr>
        <w:t xml:space="preserve">The Summertown and St. Margaret’s Neighbourhood </w:t>
      </w:r>
      <w:r>
        <w:rPr>
          <w:rFonts w:eastAsia="Calibri" w:cs="Times New Roman"/>
          <w:szCs w:val="22"/>
        </w:rPr>
        <w:t>Forum reviewed the policies in</w:t>
      </w:r>
      <w:r w:rsidRPr="00567C69">
        <w:rPr>
          <w:rFonts w:eastAsia="Calibri" w:cs="Times New Roman"/>
          <w:szCs w:val="22"/>
        </w:rPr>
        <w:t xml:space="preserve"> light of the comments </w:t>
      </w:r>
      <w:r>
        <w:rPr>
          <w:rFonts w:eastAsia="Calibri" w:cs="Times New Roman"/>
          <w:szCs w:val="22"/>
        </w:rPr>
        <w:t xml:space="preserve">received </w:t>
      </w:r>
      <w:r w:rsidRPr="00567C69">
        <w:rPr>
          <w:rFonts w:eastAsia="Calibri" w:cs="Times New Roman"/>
          <w:szCs w:val="22"/>
        </w:rPr>
        <w:t>from the public, key stakeholders and statutory consulte</w:t>
      </w:r>
      <w:r>
        <w:rPr>
          <w:rFonts w:eastAsia="Calibri" w:cs="Times New Roman"/>
          <w:szCs w:val="22"/>
        </w:rPr>
        <w:t xml:space="preserve">es as part of the pre-submission consultation and submitted the Plan to the City Council later in 2017. The Plan was submitted to the Planning Inspectorate in January 2018. Examination in public of the plan took place in July 2018 and the Inspector’s report was received by the Forum in August 2018. A decision is expected towards the end of the year. </w:t>
      </w:r>
    </w:p>
    <w:p w:rsidR="0027137A" w:rsidRPr="00567C69" w:rsidRDefault="0027137A" w:rsidP="0027137A">
      <w:pPr>
        <w:spacing w:line="276" w:lineRule="auto"/>
        <w:jc w:val="both"/>
        <w:rPr>
          <w:rFonts w:eastAsia="Calibri" w:cs="Times New Roman"/>
          <w:b/>
          <w:color w:val="403152" w:themeColor="accent4" w:themeShade="80"/>
          <w:szCs w:val="22"/>
        </w:rPr>
      </w:pPr>
      <w:proofErr w:type="spellStart"/>
      <w:r w:rsidRPr="00567C69">
        <w:rPr>
          <w:rFonts w:eastAsia="Calibri" w:cs="Times New Roman"/>
          <w:b/>
          <w:color w:val="403152" w:themeColor="accent4" w:themeShade="80"/>
          <w:szCs w:val="22"/>
        </w:rPr>
        <w:t>Wolvercote</w:t>
      </w:r>
      <w:proofErr w:type="spellEnd"/>
      <w:r w:rsidRPr="00567C69">
        <w:rPr>
          <w:rFonts w:eastAsia="Calibri" w:cs="Times New Roman"/>
          <w:b/>
          <w:color w:val="403152" w:themeColor="accent4" w:themeShade="80"/>
          <w:szCs w:val="22"/>
        </w:rPr>
        <w:t xml:space="preserve"> Neighbourhood Plan</w:t>
      </w:r>
    </w:p>
    <w:p w:rsidR="0027137A" w:rsidRPr="006F6A7A" w:rsidRDefault="0027137A" w:rsidP="0027137A">
      <w:pPr>
        <w:numPr>
          <w:ilvl w:val="1"/>
          <w:numId w:val="17"/>
        </w:numPr>
        <w:spacing w:after="200" w:line="276" w:lineRule="auto"/>
        <w:ind w:left="567" w:hanging="567"/>
        <w:contextualSpacing/>
        <w:jc w:val="both"/>
        <w:rPr>
          <w:rFonts w:eastAsia="Calibri" w:cs="Times New Roman"/>
          <w:szCs w:val="22"/>
        </w:rPr>
      </w:pPr>
      <w:r w:rsidRPr="00FA15C3">
        <w:rPr>
          <w:rFonts w:eastAsia="Calibri" w:cs="Times New Roman"/>
          <w:szCs w:val="22"/>
        </w:rPr>
        <w:t xml:space="preserve">The </w:t>
      </w:r>
      <w:proofErr w:type="spellStart"/>
      <w:r w:rsidRPr="00FA15C3">
        <w:rPr>
          <w:rFonts w:eastAsia="Calibri" w:cs="Times New Roman"/>
          <w:szCs w:val="22"/>
        </w:rPr>
        <w:t>Wolvercote</w:t>
      </w:r>
      <w:proofErr w:type="spellEnd"/>
      <w:r w:rsidRPr="00FA15C3">
        <w:rPr>
          <w:rFonts w:eastAsia="Calibri" w:cs="Times New Roman"/>
          <w:szCs w:val="22"/>
        </w:rPr>
        <w:t xml:space="preserve"> and </w:t>
      </w:r>
      <w:proofErr w:type="spellStart"/>
      <w:r w:rsidRPr="00FA15C3">
        <w:rPr>
          <w:rFonts w:eastAsia="Calibri" w:cs="Times New Roman"/>
          <w:szCs w:val="22"/>
        </w:rPr>
        <w:t>C</w:t>
      </w:r>
      <w:r>
        <w:rPr>
          <w:rFonts w:eastAsia="Calibri" w:cs="Times New Roman"/>
          <w:szCs w:val="22"/>
        </w:rPr>
        <w:t>utteslowe</w:t>
      </w:r>
      <w:proofErr w:type="spellEnd"/>
      <w:r>
        <w:rPr>
          <w:rFonts w:eastAsia="Calibri" w:cs="Times New Roman"/>
          <w:szCs w:val="22"/>
        </w:rPr>
        <w:t xml:space="preserve"> Neighbourhood Forum submitted the </w:t>
      </w:r>
      <w:proofErr w:type="spellStart"/>
      <w:r>
        <w:rPr>
          <w:rFonts w:eastAsia="Calibri" w:cs="Times New Roman"/>
          <w:szCs w:val="22"/>
        </w:rPr>
        <w:t>Wolvercote</w:t>
      </w:r>
      <w:proofErr w:type="spellEnd"/>
      <w:r>
        <w:rPr>
          <w:rFonts w:eastAsia="Calibri" w:cs="Times New Roman"/>
          <w:szCs w:val="22"/>
        </w:rPr>
        <w:t xml:space="preserve"> Neighbourhood Plan in July 2018. Public consultation on the plan is expected to take place in October 2018, with a referendum on the plan expected to take place in mid-2019. </w:t>
      </w:r>
    </w:p>
    <w:p w:rsidR="0027137A" w:rsidRPr="004E29B1" w:rsidRDefault="0027137A" w:rsidP="0027137A">
      <w:pPr>
        <w:spacing w:after="200" w:line="276" w:lineRule="auto"/>
        <w:ind w:left="567"/>
        <w:contextualSpacing/>
        <w:jc w:val="both"/>
        <w:rPr>
          <w:rFonts w:eastAsia="Calibri" w:cs="Times New Roman"/>
          <w:sz w:val="10"/>
          <w:szCs w:val="22"/>
        </w:rPr>
      </w:pPr>
    </w:p>
    <w:p w:rsidR="0027137A" w:rsidRPr="00F25570" w:rsidRDefault="0027137A" w:rsidP="0027137A">
      <w:pPr>
        <w:spacing w:line="276" w:lineRule="auto"/>
        <w:jc w:val="both"/>
        <w:rPr>
          <w:rFonts w:eastAsia="Calibri" w:cs="Times New Roman"/>
          <w:b/>
          <w:color w:val="403152" w:themeColor="accent4" w:themeShade="80"/>
          <w:szCs w:val="22"/>
        </w:rPr>
      </w:pPr>
      <w:r w:rsidRPr="00F25570">
        <w:rPr>
          <w:rFonts w:eastAsia="Calibri" w:cs="Times New Roman"/>
          <w:b/>
          <w:color w:val="403152" w:themeColor="accent4" w:themeShade="80"/>
          <w:szCs w:val="22"/>
        </w:rPr>
        <w:t>Littlemore Neighbourhood Plan</w:t>
      </w:r>
    </w:p>
    <w:p w:rsidR="0027137A" w:rsidRPr="00B740FD" w:rsidRDefault="00B740FD" w:rsidP="00B740FD">
      <w:pPr>
        <w:spacing w:line="276" w:lineRule="auto"/>
        <w:ind w:left="720" w:hanging="720"/>
      </w:pPr>
      <w:r>
        <w:t>6.11</w:t>
      </w:r>
      <w:r>
        <w:tab/>
      </w:r>
      <w:r w:rsidR="0027137A" w:rsidRPr="00B740FD">
        <w:t xml:space="preserve">Littlemore Parish Council has started work on producing a neighbourhood plan. Following on from the successful area application at the City Executive Board Meeting on 15 August 2017, an initial consultation on the vision and scope of the plan was carried out.  The Parish Council undertook a survey which highlighted key issues for the plan to address. These included indications of the results of that consultation showed that the main issues to be planning and transport. </w:t>
      </w:r>
    </w:p>
    <w:p w:rsidR="0027137A" w:rsidRPr="00F25570" w:rsidRDefault="0027137A" w:rsidP="0027137A">
      <w:pPr>
        <w:spacing w:after="200" w:line="276" w:lineRule="auto"/>
        <w:contextualSpacing/>
        <w:jc w:val="both"/>
        <w:outlineLvl w:val="1"/>
        <w:rPr>
          <w:rFonts w:asciiTheme="minorHAnsi" w:hAnsiTheme="minorHAnsi"/>
          <w:b/>
          <w:sz w:val="24"/>
          <w:lang w:eastAsia="en-GB"/>
        </w:rPr>
      </w:pPr>
    </w:p>
    <w:p w:rsidR="0027137A" w:rsidRPr="00966551" w:rsidRDefault="0027137A" w:rsidP="0027137A">
      <w:pPr>
        <w:shd w:val="clear" w:color="auto" w:fill="E5DFEC" w:themeFill="accent4" w:themeFillTint="33"/>
        <w:outlineLvl w:val="1"/>
        <w:rPr>
          <w:rFonts w:asciiTheme="minorHAnsi" w:hAnsiTheme="minorHAnsi"/>
          <w:b/>
          <w:sz w:val="24"/>
          <w:lang w:eastAsia="en-GB"/>
        </w:rPr>
      </w:pPr>
      <w:bookmarkStart w:id="46" w:name="_Toc529178376"/>
      <w:r w:rsidRPr="00966551">
        <w:rPr>
          <w:rFonts w:asciiTheme="minorHAnsi" w:hAnsiTheme="minorHAnsi"/>
          <w:b/>
          <w:sz w:val="24"/>
          <w:lang w:eastAsia="en-GB"/>
        </w:rPr>
        <w:t>STATEMENT OF COMMUNITY INVOLVEMENT MONITORING</w:t>
      </w:r>
      <w:bookmarkEnd w:id="46"/>
    </w:p>
    <w:p w:rsidR="0027137A" w:rsidRPr="00966551" w:rsidRDefault="0027137A" w:rsidP="0027137A">
      <w:pPr>
        <w:rPr>
          <w:rFonts w:cs="Calibri"/>
          <w:b/>
          <w:color w:val="403152" w:themeColor="accent4" w:themeShade="80"/>
          <w:sz w:val="18"/>
          <w:szCs w:val="22"/>
        </w:rPr>
      </w:pPr>
    </w:p>
    <w:p w:rsidR="0027137A" w:rsidRPr="00B740FD" w:rsidRDefault="0027137A" w:rsidP="00B740FD">
      <w:pPr>
        <w:pStyle w:val="ListParagraph"/>
        <w:numPr>
          <w:ilvl w:val="1"/>
          <w:numId w:val="41"/>
        </w:numPr>
        <w:spacing w:after="200" w:line="276" w:lineRule="auto"/>
        <w:ind w:right="113"/>
        <w:jc w:val="both"/>
        <w:rPr>
          <w:rFonts w:cs="Calibri"/>
          <w:b/>
          <w:color w:val="403152" w:themeColor="accent4" w:themeShade="80"/>
          <w:sz w:val="28"/>
          <w:szCs w:val="22"/>
        </w:rPr>
      </w:pPr>
      <w:r w:rsidRPr="00B740FD">
        <w:rPr>
          <w:rFonts w:cs="Calibri"/>
          <w:szCs w:val="22"/>
        </w:rPr>
        <w:t xml:space="preserve">Effective community engagement is essential to good planning. The Statement of Community Involvement in Planning (SCIP) sets out how the City Council will involve the </w:t>
      </w:r>
      <w:r w:rsidRPr="00B740FD">
        <w:rPr>
          <w:rFonts w:cs="Calibri"/>
          <w:szCs w:val="22"/>
        </w:rPr>
        <w:lastRenderedPageBreak/>
        <w:t>community and other stakeholders in both developing planning policy documents and determining planning applications.</w:t>
      </w:r>
      <w:r w:rsidRPr="00B740FD">
        <w:rPr>
          <w:rFonts w:cs="Calibri"/>
          <w:color w:val="403152" w:themeColor="accent4" w:themeShade="80"/>
          <w:szCs w:val="22"/>
        </w:rPr>
        <w:t xml:space="preserve"> The</w:t>
      </w:r>
      <w:r w:rsidRPr="00B740FD">
        <w:rPr>
          <w:rFonts w:cs="Calibri"/>
          <w:szCs w:val="22"/>
        </w:rPr>
        <w:t xml:space="preserve"> AMR reports on planning policy consultations undertaken during the monitoring year and explains how they have complied with the SCIP. </w:t>
      </w:r>
    </w:p>
    <w:p w:rsidR="0027137A" w:rsidRPr="008B0D8C" w:rsidRDefault="0027137A" w:rsidP="0027137A">
      <w:pPr>
        <w:rPr>
          <w:b/>
          <w:color w:val="403152" w:themeColor="accent4" w:themeShade="80"/>
        </w:rPr>
      </w:pPr>
      <w:r w:rsidRPr="008B0D8C">
        <w:rPr>
          <w:b/>
          <w:color w:val="403152" w:themeColor="accent4" w:themeShade="80"/>
        </w:rPr>
        <w:t xml:space="preserve">Oxford Local Plan 2036: Preferred Options Consultation </w:t>
      </w:r>
      <w:r>
        <w:rPr>
          <w:b/>
          <w:color w:val="403152" w:themeColor="accent4" w:themeShade="80"/>
        </w:rPr>
        <w:t>(Regulation 18)</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27137A" w:rsidRPr="00595250" w:rsidTr="00292336">
        <w:tc>
          <w:tcPr>
            <w:tcW w:w="1951" w:type="dxa"/>
            <w:shd w:val="clear" w:color="auto" w:fill="E5DFEC" w:themeFill="accent4" w:themeFillTint="33"/>
          </w:tcPr>
          <w:p w:rsidR="0027137A" w:rsidRPr="008B0D8C" w:rsidRDefault="0027137A" w:rsidP="00292336">
            <w:pPr>
              <w:rPr>
                <w:b/>
                <w:color w:val="262626" w:themeColor="text1" w:themeTint="D9"/>
                <w:sz w:val="20"/>
              </w:rPr>
            </w:pPr>
            <w:r w:rsidRPr="008B0D8C">
              <w:rPr>
                <w:b/>
                <w:color w:val="262626" w:themeColor="text1" w:themeTint="D9"/>
                <w:sz w:val="20"/>
              </w:rPr>
              <w:t xml:space="preserve">Consultation dates: </w:t>
            </w:r>
          </w:p>
        </w:tc>
        <w:tc>
          <w:tcPr>
            <w:tcW w:w="7291" w:type="dxa"/>
          </w:tcPr>
          <w:p w:rsidR="0027137A" w:rsidRPr="008B0D8C" w:rsidRDefault="0027137A" w:rsidP="00292336">
            <w:pPr>
              <w:rPr>
                <w:color w:val="262626" w:themeColor="text1" w:themeTint="D9"/>
                <w:sz w:val="20"/>
              </w:rPr>
            </w:pPr>
            <w:r w:rsidRPr="008B0D8C">
              <w:rPr>
                <w:color w:val="262626" w:themeColor="text1" w:themeTint="D9"/>
                <w:sz w:val="20"/>
              </w:rPr>
              <w:t>30 June 2017 – 25 August 2017 (eight weeks)</w:t>
            </w:r>
          </w:p>
        </w:tc>
      </w:tr>
      <w:tr w:rsidR="0027137A" w:rsidRPr="00595250" w:rsidTr="00292336">
        <w:tc>
          <w:tcPr>
            <w:tcW w:w="1951" w:type="dxa"/>
            <w:shd w:val="clear" w:color="auto" w:fill="E5DFEC" w:themeFill="accent4" w:themeFillTint="33"/>
          </w:tcPr>
          <w:p w:rsidR="0027137A" w:rsidRPr="00595250" w:rsidRDefault="0027137A" w:rsidP="00292336">
            <w:pPr>
              <w:rPr>
                <w:b/>
                <w:color w:val="262626" w:themeColor="text1" w:themeTint="D9"/>
                <w:sz w:val="20"/>
                <w:highlight w:val="yellow"/>
              </w:rPr>
            </w:pPr>
            <w:r w:rsidRPr="00BD6883">
              <w:rPr>
                <w:b/>
                <w:color w:val="262626" w:themeColor="text1" w:themeTint="D9"/>
                <w:sz w:val="20"/>
              </w:rPr>
              <w:t>Summary of what we did:</w:t>
            </w:r>
          </w:p>
        </w:tc>
        <w:tc>
          <w:tcPr>
            <w:tcW w:w="7291" w:type="dxa"/>
          </w:tcPr>
          <w:p w:rsidR="0027137A" w:rsidRPr="00BD6883" w:rsidRDefault="0027137A" w:rsidP="00292336">
            <w:pPr>
              <w:rPr>
                <w:color w:val="262626" w:themeColor="text1" w:themeTint="D9"/>
                <w:sz w:val="20"/>
              </w:rPr>
            </w:pPr>
            <w:r w:rsidRPr="00BD6883">
              <w:rPr>
                <w:color w:val="262626" w:themeColor="text1" w:themeTint="D9"/>
                <w:sz w:val="20"/>
              </w:rPr>
              <w:t xml:space="preserve">The City Council conducted an extensive consultation exercise over the Summer of 2017 to publicise the project and engage the Oxford community in the Preferred Options Stage of the plan-making process.  This, the first statutory stage of consultation aimed to involve residents, workers, employers, students and visitors to Oxford as well as stakeholders and service providers. </w:t>
            </w:r>
          </w:p>
          <w:p w:rsidR="0027137A" w:rsidRPr="00BD6883" w:rsidRDefault="0027137A" w:rsidP="00292336">
            <w:pPr>
              <w:rPr>
                <w:color w:val="262626" w:themeColor="text1" w:themeTint="D9"/>
                <w:sz w:val="20"/>
              </w:rPr>
            </w:pPr>
          </w:p>
          <w:p w:rsidR="0027137A" w:rsidRDefault="0027137A" w:rsidP="00292336">
            <w:pPr>
              <w:rPr>
                <w:color w:val="262626" w:themeColor="text1" w:themeTint="D9"/>
                <w:sz w:val="20"/>
              </w:rPr>
            </w:pPr>
            <w:r w:rsidRPr="00BD6883">
              <w:rPr>
                <w:color w:val="262626" w:themeColor="text1" w:themeTint="D9"/>
                <w:sz w:val="20"/>
              </w:rPr>
              <w:t>Approximately 60,000 leaflets were sent to be delivered door-to-door.  Additionally statutory consultees were contacted as well as local groups and individuals who had previously expressed an interest to be kept informed of the planning process. The City Council used traditional and more modern consultation techniques including the use of social media</w:t>
            </w:r>
            <w:r>
              <w:rPr>
                <w:color w:val="262626" w:themeColor="text1" w:themeTint="D9"/>
                <w:sz w:val="20"/>
              </w:rPr>
              <w:t xml:space="preserve"> to publicise the consultation </w:t>
            </w:r>
            <w:r w:rsidRPr="00BD6883">
              <w:rPr>
                <w:color w:val="262626" w:themeColor="text1" w:themeTint="D9"/>
                <w:sz w:val="20"/>
              </w:rPr>
              <w:t>and attending events where peop</w:t>
            </w:r>
            <w:r>
              <w:rPr>
                <w:color w:val="262626" w:themeColor="text1" w:themeTint="D9"/>
                <w:sz w:val="20"/>
              </w:rPr>
              <w:t xml:space="preserve">le would already be present in order to publicise the consultation further including arranging Farmers Markets and the </w:t>
            </w:r>
            <w:proofErr w:type="spellStart"/>
            <w:r>
              <w:rPr>
                <w:color w:val="262626" w:themeColor="text1" w:themeTint="D9"/>
                <w:sz w:val="20"/>
              </w:rPr>
              <w:t>Cowley</w:t>
            </w:r>
            <w:proofErr w:type="spellEnd"/>
            <w:r>
              <w:rPr>
                <w:color w:val="262626" w:themeColor="text1" w:themeTint="D9"/>
                <w:sz w:val="20"/>
              </w:rPr>
              <w:t xml:space="preserve"> Road Carnival.</w:t>
            </w:r>
          </w:p>
          <w:p w:rsidR="0027137A" w:rsidRDefault="0027137A" w:rsidP="00292336">
            <w:pPr>
              <w:rPr>
                <w:color w:val="262626" w:themeColor="text1" w:themeTint="D9"/>
                <w:sz w:val="20"/>
              </w:rPr>
            </w:pPr>
          </w:p>
          <w:p w:rsidR="0027137A" w:rsidRPr="00BD6883" w:rsidRDefault="0027137A" w:rsidP="00292336">
            <w:pPr>
              <w:rPr>
                <w:color w:val="262626" w:themeColor="text1" w:themeTint="D9"/>
                <w:sz w:val="20"/>
                <w:highlight w:val="yellow"/>
              </w:rPr>
            </w:pPr>
            <w:r>
              <w:rPr>
                <w:color w:val="262626" w:themeColor="text1" w:themeTint="D9"/>
                <w:sz w:val="20"/>
              </w:rPr>
              <w:t xml:space="preserve"> </w:t>
            </w:r>
            <w:r w:rsidRPr="00BD6883">
              <w:rPr>
                <w:color w:val="262626" w:themeColor="text1" w:themeTint="D9"/>
                <w:sz w:val="20"/>
              </w:rPr>
              <w:t>A range of consultation materials were produced to provide local people and stakeholders with a variety of options for involvement in the consultation. These materials were made available online, at the Council’s main offices, in libraries, in community centres and in sports and leisure centres across Oxford.</w:t>
            </w:r>
          </w:p>
          <w:p w:rsidR="0027137A" w:rsidRPr="00595250" w:rsidRDefault="0027137A" w:rsidP="00292336">
            <w:pPr>
              <w:rPr>
                <w:color w:val="262626" w:themeColor="text1" w:themeTint="D9"/>
                <w:sz w:val="20"/>
                <w:highlight w:val="yellow"/>
              </w:rPr>
            </w:pPr>
          </w:p>
          <w:p w:rsidR="0027137A" w:rsidRPr="00595250" w:rsidRDefault="0027137A" w:rsidP="00292336">
            <w:pPr>
              <w:rPr>
                <w:color w:val="262626" w:themeColor="text1" w:themeTint="D9"/>
                <w:sz w:val="20"/>
                <w:highlight w:val="yellow"/>
              </w:rPr>
            </w:pPr>
            <w:r w:rsidRPr="00BD6883">
              <w:rPr>
                <w:color w:val="262626" w:themeColor="text1" w:themeTint="D9"/>
                <w:sz w:val="20"/>
              </w:rPr>
              <w:t>The Preferred Options Consultation was widely publicised through a range of channels, including the local press, social media, and posters in community notice boards. The Planning Policy Team also had a manned stand at a range of events across Oxford during the consultation period.</w:t>
            </w:r>
          </w:p>
        </w:tc>
      </w:tr>
      <w:tr w:rsidR="0027137A" w:rsidRPr="00595250" w:rsidTr="00292336">
        <w:tc>
          <w:tcPr>
            <w:tcW w:w="1951" w:type="dxa"/>
            <w:shd w:val="clear" w:color="auto" w:fill="E5DFEC" w:themeFill="accent4" w:themeFillTint="33"/>
          </w:tcPr>
          <w:p w:rsidR="0027137A" w:rsidRPr="00595250" w:rsidRDefault="00901E0C" w:rsidP="00292336">
            <w:pPr>
              <w:rPr>
                <w:b/>
                <w:color w:val="262626" w:themeColor="text1" w:themeTint="D9"/>
                <w:sz w:val="20"/>
                <w:highlight w:val="yellow"/>
              </w:rPr>
            </w:pPr>
            <w:r w:rsidRPr="00901E0C">
              <w:rPr>
                <w:b/>
                <w:color w:val="262626" w:themeColor="text1" w:themeTint="D9"/>
                <w:sz w:val="20"/>
              </w:rPr>
              <w:t>Further information</w:t>
            </w:r>
            <w:r w:rsidR="0027137A" w:rsidRPr="00901E0C">
              <w:rPr>
                <w:b/>
                <w:color w:val="262626" w:themeColor="text1" w:themeTint="D9"/>
                <w:sz w:val="20"/>
              </w:rPr>
              <w:t>:</w:t>
            </w:r>
          </w:p>
        </w:tc>
        <w:tc>
          <w:tcPr>
            <w:tcW w:w="7291" w:type="dxa"/>
          </w:tcPr>
          <w:p w:rsidR="0027137A" w:rsidRPr="00595250" w:rsidRDefault="0027137A" w:rsidP="00292336">
            <w:pPr>
              <w:rPr>
                <w:color w:val="262626" w:themeColor="text1" w:themeTint="D9"/>
                <w:sz w:val="20"/>
                <w:highlight w:val="yellow"/>
              </w:rPr>
            </w:pPr>
            <w:r w:rsidRPr="00966551">
              <w:rPr>
                <w:color w:val="262626" w:themeColor="text1" w:themeTint="D9"/>
                <w:sz w:val="20"/>
              </w:rPr>
              <w:t xml:space="preserve">More information on the first steps consultation, including summaries of the comments received, can be found in the </w:t>
            </w:r>
            <w:hyperlink r:id="rId33" w:history="1">
              <w:r w:rsidRPr="00966551">
                <w:rPr>
                  <w:rStyle w:val="Hyperlink"/>
                  <w:sz w:val="20"/>
                </w:rPr>
                <w:t>Preferred Options Consultation Report 2017</w:t>
              </w:r>
            </w:hyperlink>
          </w:p>
        </w:tc>
      </w:tr>
    </w:tbl>
    <w:p w:rsidR="0027137A" w:rsidRPr="00595250" w:rsidRDefault="0027137A" w:rsidP="0027137A">
      <w:pPr>
        <w:spacing w:after="200" w:line="276" w:lineRule="auto"/>
        <w:ind w:right="113"/>
        <w:jc w:val="both"/>
        <w:outlineLvl w:val="1"/>
        <w:rPr>
          <w:rFonts w:asciiTheme="minorHAnsi" w:hAnsiTheme="minorHAnsi"/>
          <w:b/>
          <w:sz w:val="24"/>
          <w:highlight w:val="yellow"/>
          <w:lang w:eastAsia="en-GB"/>
        </w:rPr>
      </w:pPr>
    </w:p>
    <w:p w:rsidR="0027137A" w:rsidRPr="00311408" w:rsidRDefault="0027137A" w:rsidP="0027137A">
      <w:pPr>
        <w:shd w:val="clear" w:color="auto" w:fill="E5DFEC" w:themeFill="accent4" w:themeFillTint="33"/>
        <w:spacing w:after="200" w:line="276" w:lineRule="auto"/>
        <w:ind w:right="113"/>
        <w:jc w:val="both"/>
        <w:outlineLvl w:val="1"/>
        <w:rPr>
          <w:rFonts w:asciiTheme="minorHAnsi" w:hAnsiTheme="minorHAnsi"/>
          <w:b/>
          <w:sz w:val="24"/>
          <w:lang w:eastAsia="en-GB"/>
        </w:rPr>
      </w:pPr>
      <w:bookmarkStart w:id="47" w:name="_Toc529178377"/>
      <w:r w:rsidRPr="00311408">
        <w:rPr>
          <w:rFonts w:asciiTheme="minorHAnsi" w:hAnsiTheme="minorHAnsi"/>
          <w:b/>
          <w:sz w:val="24"/>
          <w:lang w:eastAsia="en-GB"/>
        </w:rPr>
        <w:t>COMMUNITY INFRASTRUCTURE LEVY MONITORING</w:t>
      </w:r>
      <w:bookmarkEnd w:id="47"/>
    </w:p>
    <w:p w:rsidR="00311408" w:rsidRPr="00311408" w:rsidRDefault="00311408" w:rsidP="0027137A">
      <w:pPr>
        <w:jc w:val="both"/>
        <w:rPr>
          <w:rFonts w:cs="Calibri"/>
          <w:sz w:val="6"/>
          <w:szCs w:val="6"/>
        </w:rPr>
      </w:pPr>
    </w:p>
    <w:p w:rsidR="00311408" w:rsidRPr="00311408" w:rsidRDefault="00311408" w:rsidP="00311408">
      <w:pPr>
        <w:rPr>
          <w:rFonts w:cs="Calibri"/>
          <w:sz w:val="6"/>
          <w:szCs w:val="6"/>
        </w:rPr>
      </w:pPr>
    </w:p>
    <w:p w:rsidR="00311408" w:rsidRPr="00311408" w:rsidRDefault="00311408" w:rsidP="00311408">
      <w:pPr>
        <w:rPr>
          <w:rFonts w:cs="Calibri"/>
          <w:sz w:val="6"/>
          <w:szCs w:val="6"/>
        </w:rPr>
      </w:pPr>
    </w:p>
    <w:p w:rsidR="00311408" w:rsidRPr="00311408" w:rsidRDefault="00311408" w:rsidP="00311408">
      <w:pPr>
        <w:rPr>
          <w:rFonts w:cs="Calibri"/>
          <w:sz w:val="6"/>
          <w:szCs w:val="6"/>
        </w:rPr>
      </w:pPr>
    </w:p>
    <w:p w:rsidR="00311408" w:rsidRPr="00311408" w:rsidRDefault="00311408" w:rsidP="00311408">
      <w:pPr>
        <w:rPr>
          <w:rFonts w:cs="Calibri"/>
          <w:sz w:val="6"/>
          <w:szCs w:val="6"/>
        </w:rPr>
      </w:pPr>
    </w:p>
    <w:p w:rsidR="0027137A" w:rsidRPr="00311408" w:rsidRDefault="0027137A" w:rsidP="00311408">
      <w:pPr>
        <w:rPr>
          <w:rFonts w:cs="Calibri"/>
          <w:sz w:val="6"/>
          <w:szCs w:val="6"/>
        </w:rPr>
      </w:pPr>
    </w:p>
    <w:p w:rsidR="0027137A" w:rsidRPr="00311408" w:rsidRDefault="0027137A" w:rsidP="00B740FD">
      <w:pPr>
        <w:numPr>
          <w:ilvl w:val="1"/>
          <w:numId w:val="41"/>
        </w:numPr>
        <w:spacing w:after="200" w:line="276" w:lineRule="auto"/>
        <w:ind w:left="567" w:hanging="567"/>
        <w:jc w:val="both"/>
        <w:rPr>
          <w:rFonts w:cs="Calibri"/>
          <w:szCs w:val="22"/>
        </w:rPr>
      </w:pPr>
      <w:r w:rsidRPr="00311408">
        <w:rPr>
          <w:rFonts w:cs="Calibri"/>
          <w:szCs w:val="22"/>
        </w:rPr>
        <w:t>The Community Infrastructure Levy (CIL) is a tariff in the form of a standard charge on new development to help the funding of infrastructure. Oxford’s CIL Charging Schedule came into effect on the 21 October 2013. Planning applications determined on or after 21 October 2013 may therefore be subject to CIL.</w:t>
      </w:r>
      <w:r w:rsidRPr="00311408">
        <w:rPr>
          <w:rFonts w:cs="Calibri"/>
          <w:szCs w:val="22"/>
          <w:vertAlign w:val="superscript"/>
        </w:rPr>
        <w:footnoteReference w:id="48"/>
      </w:r>
      <w:r w:rsidRPr="00311408">
        <w:rPr>
          <w:rFonts w:cs="Calibri"/>
          <w:szCs w:val="22"/>
        </w:rPr>
        <w:t xml:space="preserve"> CIL rates are updated each January to reflect indexation.</w:t>
      </w:r>
    </w:p>
    <w:p w:rsidR="0027137A" w:rsidRPr="00311408" w:rsidRDefault="0027137A" w:rsidP="00B740FD">
      <w:pPr>
        <w:numPr>
          <w:ilvl w:val="1"/>
          <w:numId w:val="41"/>
        </w:numPr>
        <w:spacing w:after="200" w:line="276" w:lineRule="auto"/>
        <w:ind w:left="567" w:hanging="567"/>
        <w:jc w:val="both"/>
        <w:rPr>
          <w:rFonts w:cs="Calibri"/>
          <w:szCs w:val="22"/>
        </w:rPr>
      </w:pPr>
      <w:r w:rsidRPr="00311408">
        <w:t>The Council will use CIL to secure Strategic Infrastructure (as shown on the Regulation 123 list of infrastructure) whilst the local infrastructure will be secured through Planning Obligations in line with the Polices of the Core Strategy and the Affordable Housing &amp; Planning Obligations SPD.</w:t>
      </w:r>
      <w:r w:rsidRPr="00311408">
        <w:rPr>
          <w:rFonts w:cs="Calibri"/>
          <w:szCs w:val="22"/>
        </w:rPr>
        <w:t xml:space="preserve"> </w:t>
      </w:r>
    </w:p>
    <w:p w:rsidR="0027137A" w:rsidRPr="00311408" w:rsidRDefault="0027137A" w:rsidP="00B740FD">
      <w:pPr>
        <w:numPr>
          <w:ilvl w:val="1"/>
          <w:numId w:val="41"/>
        </w:numPr>
        <w:spacing w:after="200" w:line="276" w:lineRule="auto"/>
        <w:ind w:left="567" w:hanging="567"/>
        <w:jc w:val="both"/>
        <w:rPr>
          <w:rFonts w:cs="Calibri"/>
          <w:szCs w:val="22"/>
        </w:rPr>
      </w:pPr>
      <w:r w:rsidRPr="00311408">
        <w:rPr>
          <w:rFonts w:cs="Calibri"/>
          <w:szCs w:val="22"/>
        </w:rPr>
        <w:t>Regulation 62 of the CIL Regulations (as amended) requires charging authorities to “</w:t>
      </w:r>
      <w:r w:rsidRPr="00311408">
        <w:rPr>
          <w:rFonts w:cs="Calibri"/>
          <w:i/>
          <w:szCs w:val="22"/>
        </w:rPr>
        <w:t xml:space="preserve">prepare a report for any financial year (“the reported year”) in which – a) it collects CIL or CIL is collected on its behalf; or b) an amount of CIL collected by it or by another person on its behalf (whether </w:t>
      </w:r>
      <w:r w:rsidRPr="00311408">
        <w:rPr>
          <w:rFonts w:cs="Calibri"/>
          <w:i/>
          <w:szCs w:val="22"/>
        </w:rPr>
        <w:lastRenderedPageBreak/>
        <w:t>in the reported year or any other) has not been spent</w:t>
      </w:r>
      <w:r w:rsidRPr="00311408">
        <w:rPr>
          <w:rFonts w:cs="Calibri"/>
          <w:szCs w:val="22"/>
        </w:rPr>
        <w:t>.”  Table 28 sets out the CIL Monitoring information as required by regulation 62(4) for the period</w:t>
      </w:r>
      <w:r w:rsidR="003156B8" w:rsidRPr="00311408">
        <w:t xml:space="preserve"> 1 April 2017 to 31 March 2018</w:t>
      </w:r>
      <w:r w:rsidRPr="00311408">
        <w:t>. Da</w:t>
      </w:r>
      <w:r w:rsidR="003156B8" w:rsidRPr="00311408">
        <w:t xml:space="preserve">ta for the 2013/14, 2014/15, </w:t>
      </w:r>
      <w:r w:rsidRPr="00311408">
        <w:t xml:space="preserve">2015/16 </w:t>
      </w:r>
      <w:r w:rsidR="003156B8" w:rsidRPr="00311408">
        <w:t xml:space="preserve">and 2016/17 </w:t>
      </w:r>
      <w:r w:rsidRPr="00311408">
        <w:t xml:space="preserve">monitoring years is also included for comparative purposes. </w:t>
      </w:r>
    </w:p>
    <w:tbl>
      <w:tblPr>
        <w:tblStyle w:val="TableGrid914"/>
        <w:tblW w:w="11655" w:type="dxa"/>
        <w:jc w:val="center"/>
        <w:tblLayout w:type="fixed"/>
        <w:tblLook w:val="04A0" w:firstRow="1" w:lastRow="0" w:firstColumn="1" w:lastColumn="0" w:noHBand="0" w:noVBand="1"/>
      </w:tblPr>
      <w:tblGrid>
        <w:gridCol w:w="1173"/>
        <w:gridCol w:w="4450"/>
        <w:gridCol w:w="976"/>
        <w:gridCol w:w="976"/>
        <w:gridCol w:w="977"/>
        <w:gridCol w:w="1119"/>
        <w:gridCol w:w="992"/>
        <w:gridCol w:w="992"/>
      </w:tblGrid>
      <w:tr w:rsidR="003156B8" w:rsidRPr="003156B8" w:rsidTr="003156B8">
        <w:trPr>
          <w:jc w:val="center"/>
        </w:trPr>
        <w:tc>
          <w:tcPr>
            <w:tcW w:w="1173"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Regulation Reference</w:t>
            </w:r>
          </w:p>
        </w:tc>
        <w:tc>
          <w:tcPr>
            <w:tcW w:w="4450"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Description</w:t>
            </w:r>
          </w:p>
        </w:tc>
        <w:tc>
          <w:tcPr>
            <w:tcW w:w="976"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2013/14 (£)</w:t>
            </w:r>
          </w:p>
        </w:tc>
        <w:tc>
          <w:tcPr>
            <w:tcW w:w="976"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2014/15</w:t>
            </w:r>
          </w:p>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w:t>
            </w:r>
          </w:p>
        </w:tc>
        <w:tc>
          <w:tcPr>
            <w:tcW w:w="977"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2015/16</w:t>
            </w:r>
          </w:p>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w:t>
            </w:r>
          </w:p>
        </w:tc>
        <w:tc>
          <w:tcPr>
            <w:tcW w:w="1119"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2016/17</w:t>
            </w:r>
          </w:p>
          <w:p w:rsidR="003156B8" w:rsidRPr="003156B8" w:rsidRDefault="003156B8" w:rsidP="003156B8">
            <w:pPr>
              <w:spacing w:line="276" w:lineRule="auto"/>
              <w:jc w:val="center"/>
              <w:rPr>
                <w:rFonts w:asciiTheme="minorHAnsi" w:hAnsiTheme="minorHAnsi" w:cstheme="minorHAnsi"/>
                <w:b/>
                <w:sz w:val="17"/>
                <w:szCs w:val="17"/>
                <w:highlight w:val="yellow"/>
              </w:rPr>
            </w:pPr>
            <w:r w:rsidRPr="003156B8">
              <w:rPr>
                <w:rFonts w:asciiTheme="minorHAnsi" w:hAnsiTheme="minorHAnsi" w:cstheme="minorHAnsi"/>
                <w:b/>
                <w:sz w:val="17"/>
                <w:szCs w:val="17"/>
              </w:rPr>
              <w:t>(£)</w:t>
            </w:r>
          </w:p>
        </w:tc>
        <w:tc>
          <w:tcPr>
            <w:tcW w:w="992" w:type="dxa"/>
            <w:shd w:val="clear" w:color="auto" w:fill="E5DFEC" w:themeFill="accent4" w:themeFillTint="33"/>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2017/18</w:t>
            </w:r>
          </w:p>
          <w:p w:rsidR="003156B8" w:rsidRPr="003156B8" w:rsidRDefault="003156B8" w:rsidP="003156B8">
            <w:pPr>
              <w:spacing w:line="276" w:lineRule="auto"/>
              <w:jc w:val="center"/>
              <w:rPr>
                <w:rFonts w:asciiTheme="minorHAnsi" w:hAnsiTheme="minorHAnsi" w:cstheme="minorHAnsi"/>
                <w:b/>
                <w:sz w:val="17"/>
                <w:szCs w:val="17"/>
                <w:highlight w:val="yellow"/>
              </w:rPr>
            </w:pPr>
            <w:r w:rsidRPr="003156B8">
              <w:rPr>
                <w:rFonts w:asciiTheme="minorHAnsi" w:hAnsiTheme="minorHAnsi" w:cstheme="minorHAnsi"/>
                <w:b/>
                <w:sz w:val="17"/>
                <w:szCs w:val="17"/>
              </w:rPr>
              <w:t>(£)</w:t>
            </w:r>
          </w:p>
        </w:tc>
        <w:tc>
          <w:tcPr>
            <w:tcW w:w="992" w:type="dxa"/>
            <w:shd w:val="clear" w:color="auto" w:fill="FFFFFF" w:themeFill="background1"/>
          </w:tcPr>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Total</w:t>
            </w:r>
          </w:p>
          <w:p w:rsidR="003156B8" w:rsidRPr="003156B8" w:rsidRDefault="003156B8"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 xml:space="preserve">(£) </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(3)</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Land payments made in respect of CIL, and CIL collected by way of a land payment which has not been spent at the end of the reported year:-</w:t>
            </w:r>
          </w:p>
          <w:p w:rsidR="003156B8" w:rsidRPr="003156B8" w:rsidRDefault="003156B8" w:rsidP="003156B8">
            <w:pPr>
              <w:numPr>
                <w:ilvl w:val="0"/>
                <w:numId w:val="20"/>
              </w:numPr>
              <w:spacing w:line="276" w:lineRule="auto"/>
              <w:ind w:left="445"/>
              <w:rPr>
                <w:rFonts w:asciiTheme="minorHAnsi" w:hAnsiTheme="minorHAnsi" w:cstheme="minorHAnsi"/>
                <w:sz w:val="17"/>
                <w:szCs w:val="17"/>
              </w:rPr>
            </w:pPr>
            <w:r w:rsidRPr="003156B8">
              <w:rPr>
                <w:rFonts w:asciiTheme="minorHAnsi" w:hAnsiTheme="minorHAnsi" w:cstheme="minorHAnsi"/>
                <w:sz w:val="17"/>
                <w:szCs w:val="17"/>
              </w:rPr>
              <w:t>development consistent with a relevant purpose has not commenced on the acquired land; or</w:t>
            </w:r>
          </w:p>
          <w:p w:rsidR="003156B8" w:rsidRPr="003156B8" w:rsidRDefault="003156B8" w:rsidP="003156B8">
            <w:pPr>
              <w:numPr>
                <w:ilvl w:val="0"/>
                <w:numId w:val="20"/>
              </w:numPr>
              <w:spacing w:line="276" w:lineRule="auto"/>
              <w:ind w:left="445"/>
              <w:rPr>
                <w:rFonts w:asciiTheme="minorHAnsi" w:hAnsiTheme="minorHAnsi" w:cstheme="minorHAnsi"/>
                <w:sz w:val="17"/>
                <w:szCs w:val="17"/>
              </w:rPr>
            </w:pPr>
            <w:r w:rsidRPr="003156B8">
              <w:rPr>
                <w:rFonts w:asciiTheme="minorHAnsi" w:hAnsiTheme="minorHAnsi" w:cstheme="minorHAnsi"/>
                <w:sz w:val="17"/>
                <w:szCs w:val="17"/>
              </w:rPr>
              <w:t>the acquired land (in whole or in part) has been used or disposed of for a purpose other than a relevant purpose; and the amount deemed to be CIL by virtue of regulation 73(9) has not been spent.</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cstheme="minorBidi"/>
                <w:sz w:val="17"/>
                <w:szCs w:val="17"/>
              </w:rPr>
              <w:t>Nil</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92" w:type="dxa"/>
            <w:shd w:val="clear" w:color="auto" w:fill="FFFFFF" w:themeFill="background1"/>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92" w:type="dxa"/>
            <w:shd w:val="clear" w:color="auto" w:fill="FFFFFF" w:themeFill="background1"/>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4(a)</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CIL receipts</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7,064</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1,379,000</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2,046,196</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2,295,923</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4,995,586</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10,723,769</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4(b)</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CIL expenditure</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350,000</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990,540.00</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1,155,761</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2,496,301</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w:t>
            </w:r>
            <w:proofErr w:type="spellStart"/>
            <w:r w:rsidRPr="003156B8">
              <w:rPr>
                <w:rFonts w:asciiTheme="minorHAnsi" w:hAnsiTheme="minorHAnsi" w:cstheme="minorHAnsi"/>
                <w:sz w:val="17"/>
                <w:szCs w:val="17"/>
              </w:rPr>
              <w:t>i</w:t>
            </w:r>
            <w:proofErr w:type="spellEnd"/>
            <w:r w:rsidRPr="003156B8">
              <w:rPr>
                <w:rFonts w:asciiTheme="minorHAnsi" w:hAnsiTheme="minorHAnsi" w:cstheme="minorHAnsi"/>
                <w:sz w:val="17"/>
                <w:szCs w:val="17"/>
              </w:rPr>
              <w:t>)</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The items of infrastructure to which CIL (including land payments) has been applied</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rsidR="003156B8" w:rsidRPr="003156B8" w:rsidRDefault="003156B8" w:rsidP="003156B8">
            <w:pPr>
              <w:spacing w:line="276" w:lineRule="auto"/>
              <w:ind w:left="-13" w:right="-60"/>
              <w:jc w:val="center"/>
              <w:rPr>
                <w:rFonts w:cstheme="minorBidi"/>
                <w:sz w:val="17"/>
                <w:szCs w:val="17"/>
              </w:rPr>
            </w:pPr>
            <w:r w:rsidRPr="003156B8">
              <w:rPr>
                <w:rFonts w:cstheme="minorBidi"/>
                <w:sz w:val="17"/>
                <w:szCs w:val="17"/>
              </w:rPr>
              <w:t>1 Item</w:t>
            </w:r>
            <w:r w:rsidRPr="003156B8">
              <w:rPr>
                <w:rFonts w:cstheme="minorBidi"/>
                <w:sz w:val="17"/>
                <w:szCs w:val="17"/>
                <w:vertAlign w:val="superscript"/>
              </w:rPr>
              <w:footnoteReference w:id="49"/>
            </w:r>
          </w:p>
        </w:tc>
        <w:tc>
          <w:tcPr>
            <w:tcW w:w="1119" w:type="dxa"/>
          </w:tcPr>
          <w:p w:rsidR="003156B8" w:rsidRPr="003156B8" w:rsidRDefault="003156B8" w:rsidP="003156B8">
            <w:pPr>
              <w:spacing w:line="276" w:lineRule="auto"/>
              <w:ind w:left="-13" w:right="-60"/>
              <w:jc w:val="center"/>
              <w:rPr>
                <w:rFonts w:cstheme="minorBidi"/>
                <w:sz w:val="17"/>
                <w:szCs w:val="17"/>
                <w:highlight w:val="yellow"/>
                <w:vertAlign w:val="superscript"/>
              </w:rPr>
            </w:pPr>
            <w:r w:rsidRPr="003156B8">
              <w:rPr>
                <w:rFonts w:cstheme="minorBidi"/>
                <w:sz w:val="17"/>
                <w:szCs w:val="17"/>
              </w:rPr>
              <w:t>2 Items</w:t>
            </w:r>
            <w:r w:rsidRPr="003156B8">
              <w:rPr>
                <w:rFonts w:cstheme="minorBidi"/>
                <w:sz w:val="17"/>
                <w:szCs w:val="17"/>
                <w:vertAlign w:val="superscript"/>
              </w:rPr>
              <w:t>2</w:t>
            </w:r>
          </w:p>
        </w:tc>
        <w:tc>
          <w:tcPr>
            <w:tcW w:w="992" w:type="dxa"/>
          </w:tcPr>
          <w:p w:rsidR="003156B8" w:rsidRPr="003156B8" w:rsidRDefault="003156B8" w:rsidP="003156B8">
            <w:pPr>
              <w:spacing w:line="276" w:lineRule="auto"/>
              <w:ind w:left="-13" w:right="-60"/>
              <w:jc w:val="center"/>
              <w:rPr>
                <w:rFonts w:cstheme="minorBidi"/>
                <w:sz w:val="17"/>
                <w:szCs w:val="17"/>
                <w:highlight w:val="yellow"/>
                <w:vertAlign w:val="superscript"/>
              </w:rPr>
            </w:pPr>
            <w:r w:rsidRPr="003156B8">
              <w:rPr>
                <w:rFonts w:cstheme="minorBidi"/>
                <w:sz w:val="17"/>
                <w:szCs w:val="17"/>
              </w:rPr>
              <w:t>2 Items</w:t>
            </w:r>
            <w:r w:rsidRPr="003156B8">
              <w:rPr>
                <w:rFonts w:cstheme="minorBidi"/>
                <w:sz w:val="17"/>
                <w:szCs w:val="17"/>
                <w:vertAlign w:val="superscript"/>
              </w:rPr>
              <w:t>3</w:t>
            </w:r>
          </w:p>
        </w:tc>
        <w:tc>
          <w:tcPr>
            <w:tcW w:w="992" w:type="dxa"/>
          </w:tcPr>
          <w:p w:rsidR="003156B8" w:rsidRPr="003156B8" w:rsidRDefault="003156B8" w:rsidP="003156B8">
            <w:pPr>
              <w:spacing w:line="276" w:lineRule="auto"/>
              <w:ind w:left="-13" w:right="-60"/>
              <w:jc w:val="center"/>
              <w:rPr>
                <w:rFonts w:cstheme="minorBidi"/>
                <w:sz w:val="17"/>
                <w:szCs w:val="17"/>
                <w:highlight w:val="yellow"/>
              </w:rPr>
            </w:pPr>
            <w:r w:rsidRPr="003156B8">
              <w:rPr>
                <w:rFonts w:cstheme="minorBidi"/>
                <w:sz w:val="17"/>
                <w:szCs w:val="17"/>
              </w:rPr>
              <w:t>N/A</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Amount of CIL expenditure on each item</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350,000</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1.£730k</w:t>
            </w:r>
          </w:p>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2.£260,540</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1.£380k</w:t>
            </w:r>
          </w:p>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2. £775,761k</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2,496,301</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Amount of CIL applied to repay money borrowed, including any interest with details of the infrastructure items which that money was used to provide (wholly or in part)</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Nil</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Nil</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Nil</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(iv)</w:t>
            </w:r>
          </w:p>
        </w:tc>
        <w:tc>
          <w:tcPr>
            <w:tcW w:w="4450" w:type="dxa"/>
          </w:tcPr>
          <w:p w:rsidR="003156B8" w:rsidRPr="003156B8" w:rsidRDefault="003156B8" w:rsidP="003156B8">
            <w:pPr>
              <w:spacing w:line="276" w:lineRule="auto"/>
              <w:rPr>
                <w:rFonts w:cstheme="minorBidi"/>
                <w:sz w:val="17"/>
                <w:szCs w:val="17"/>
              </w:rPr>
            </w:pPr>
            <w:r w:rsidRPr="003156B8">
              <w:rPr>
                <w:rFonts w:asciiTheme="minorHAnsi" w:hAnsiTheme="minorHAnsi" w:cstheme="minorHAnsi"/>
                <w:sz w:val="17"/>
                <w:szCs w:val="17"/>
              </w:rPr>
              <w:t xml:space="preserve">Amount of CIL applied to administrative expenses pursuant to regulation 61, and that amount expressed as a percentage of CIL collected in that year in accordance with that regulation </w:t>
            </w:r>
            <w:r w:rsidRPr="003156B8">
              <w:rPr>
                <w:rFonts w:cstheme="minorBidi"/>
                <w:sz w:val="17"/>
                <w:szCs w:val="17"/>
              </w:rPr>
              <w:t>(5%)</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 xml:space="preserve">353 </w:t>
            </w:r>
          </w:p>
          <w:p w:rsidR="003156B8" w:rsidRPr="003156B8" w:rsidRDefault="003156B8" w:rsidP="003156B8">
            <w:pPr>
              <w:spacing w:line="276" w:lineRule="auto"/>
              <w:jc w:val="center"/>
              <w:rPr>
                <w:rFonts w:cstheme="minorBidi"/>
                <w:sz w:val="17"/>
                <w:szCs w:val="17"/>
              </w:rPr>
            </w:pPr>
            <w:r w:rsidRPr="003156B8">
              <w:rPr>
                <w:rFonts w:cstheme="minorBidi"/>
                <w:sz w:val="17"/>
                <w:szCs w:val="17"/>
              </w:rPr>
              <w:t>(5%)</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68,950</w:t>
            </w:r>
          </w:p>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(5%)</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103,510 (5%)</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114,796</w:t>
            </w:r>
          </w:p>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(5%)</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249779</w:t>
            </w:r>
          </w:p>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(5%)</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537,388</w:t>
            </w:r>
          </w:p>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(5%)</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(ca)</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 xml:space="preserve">Amount of CIL passed to any local council (i.e. a parish council) under regulation 59A or 59B; and any person under regulation 59(4) (i.e. to another person for that person to apply to funding the provision, improvement, replacement,  operation or maintenance of infrastructure) </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14,895</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18,941</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13,230</w:t>
            </w:r>
            <w:r w:rsidRPr="003156B8">
              <w:rPr>
                <w:rFonts w:cstheme="minorBidi"/>
                <w:sz w:val="17"/>
                <w:szCs w:val="17"/>
                <w:highlight w:val="yellow"/>
              </w:rPr>
              <w:t xml:space="preserve"> </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34,784</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81,850</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w:t>
            </w:r>
            <w:proofErr w:type="spellStart"/>
            <w:r w:rsidRPr="003156B8">
              <w:rPr>
                <w:rFonts w:asciiTheme="minorHAnsi" w:hAnsiTheme="minorHAnsi" w:cstheme="minorHAnsi"/>
                <w:sz w:val="17"/>
                <w:szCs w:val="17"/>
              </w:rPr>
              <w:t>cb</w:t>
            </w:r>
            <w:proofErr w:type="spellEnd"/>
            <w:r w:rsidRPr="003156B8">
              <w:rPr>
                <w:rFonts w:asciiTheme="minorHAnsi" w:hAnsiTheme="minorHAnsi" w:cstheme="minorHAnsi"/>
                <w:sz w:val="17"/>
                <w:szCs w:val="17"/>
              </w:rPr>
              <w:t>) (</w:t>
            </w:r>
            <w:proofErr w:type="spellStart"/>
            <w:r w:rsidRPr="003156B8">
              <w:rPr>
                <w:rFonts w:asciiTheme="minorHAnsi" w:hAnsiTheme="minorHAnsi" w:cstheme="minorHAnsi"/>
                <w:sz w:val="17"/>
                <w:szCs w:val="17"/>
              </w:rPr>
              <w:t>i</w:t>
            </w:r>
            <w:proofErr w:type="spellEnd"/>
            <w:r w:rsidRPr="003156B8">
              <w:rPr>
                <w:rFonts w:asciiTheme="minorHAnsi" w:hAnsiTheme="minorHAnsi" w:cstheme="minorHAnsi"/>
                <w:sz w:val="17"/>
                <w:szCs w:val="17"/>
              </w:rPr>
              <w:t>)</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CIL receipts under regulations 59E and 59F i.e. CIL recovered from parish councils because it hasn’t been spent within five years, or the neighbourhood element of CIL in areas that do not have parish councils (15% in areas without an adopted Neighbourhood Plan)</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1,060</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193,015</w:t>
            </w:r>
          </w:p>
          <w:p w:rsidR="003156B8" w:rsidRPr="003156B8" w:rsidRDefault="003156B8" w:rsidP="003156B8">
            <w:pPr>
              <w:spacing w:line="276" w:lineRule="auto"/>
              <w:jc w:val="center"/>
              <w:rPr>
                <w:rFonts w:asciiTheme="minorHAnsi" w:hAnsiTheme="minorHAnsi" w:cstheme="minorHAnsi"/>
                <w:sz w:val="17"/>
                <w:szCs w:val="17"/>
                <w:highlight w:val="yellow"/>
              </w:rPr>
            </w:pP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484,603</w:t>
            </w:r>
          </w:p>
          <w:p w:rsidR="003156B8" w:rsidRPr="003156B8" w:rsidRDefault="003156B8" w:rsidP="003156B8">
            <w:pPr>
              <w:spacing w:line="276" w:lineRule="auto"/>
              <w:jc w:val="center"/>
              <w:rPr>
                <w:rFonts w:cstheme="minorBidi"/>
                <w:sz w:val="17"/>
                <w:szCs w:val="17"/>
                <w:highlight w:val="yellow"/>
              </w:rPr>
            </w:pP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723,881</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1,334,223</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N/A</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w:t>
            </w:r>
            <w:proofErr w:type="spellStart"/>
            <w:r w:rsidRPr="003156B8">
              <w:rPr>
                <w:rFonts w:asciiTheme="minorHAnsi" w:hAnsiTheme="minorHAnsi" w:cstheme="minorHAnsi"/>
                <w:sz w:val="17"/>
                <w:szCs w:val="17"/>
              </w:rPr>
              <w:t>cb</w:t>
            </w:r>
            <w:proofErr w:type="spellEnd"/>
            <w:r w:rsidRPr="003156B8">
              <w:rPr>
                <w:rFonts w:asciiTheme="minorHAnsi" w:hAnsiTheme="minorHAnsi" w:cstheme="minorHAnsi"/>
                <w:sz w:val="17"/>
                <w:szCs w:val="17"/>
              </w:rPr>
              <w:t>) (ii)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The items to which the CIL receipts to which regulations 59E and 59F applied have been applied</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105,000</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105,000</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210,000</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w:t>
            </w:r>
            <w:proofErr w:type="spellStart"/>
            <w:r w:rsidRPr="003156B8">
              <w:rPr>
                <w:rFonts w:asciiTheme="minorHAnsi" w:hAnsiTheme="minorHAnsi" w:cstheme="minorHAnsi"/>
                <w:sz w:val="17"/>
                <w:szCs w:val="17"/>
              </w:rPr>
              <w:t>cb</w:t>
            </w:r>
            <w:proofErr w:type="spellEnd"/>
            <w:r w:rsidRPr="003156B8">
              <w:rPr>
                <w:rFonts w:asciiTheme="minorHAnsi" w:hAnsiTheme="minorHAnsi" w:cstheme="minorHAnsi"/>
                <w:sz w:val="17"/>
                <w:szCs w:val="17"/>
              </w:rPr>
              <w:t>) (iii)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Amount of expenditure on each item</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 xml:space="preserve">2,500 </w:t>
            </w:r>
          </w:p>
        </w:tc>
        <w:tc>
          <w:tcPr>
            <w:tcW w:w="992" w:type="dxa"/>
          </w:tcPr>
          <w:p w:rsidR="003156B8" w:rsidRPr="003156B8" w:rsidRDefault="003156B8" w:rsidP="003156B8">
            <w:pPr>
              <w:spacing w:line="276" w:lineRule="auto"/>
              <w:jc w:val="center"/>
              <w:rPr>
                <w:rFonts w:cstheme="minorBidi"/>
                <w:sz w:val="17"/>
                <w:szCs w:val="17"/>
                <w:highlight w:val="yellow"/>
                <w:vertAlign w:val="superscript"/>
              </w:rPr>
            </w:pPr>
            <w:r w:rsidRPr="003156B8">
              <w:rPr>
                <w:rFonts w:cstheme="minorBidi"/>
                <w:sz w:val="17"/>
                <w:szCs w:val="17"/>
              </w:rPr>
              <w:t xml:space="preserve">2,500 </w:t>
            </w:r>
            <w:r w:rsidRPr="003156B8">
              <w:rPr>
                <w:rFonts w:cstheme="minorBidi"/>
                <w:sz w:val="17"/>
                <w:szCs w:val="17"/>
                <w:vertAlign w:val="superscript"/>
              </w:rPr>
              <w:t>4</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105,000</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(cc) (</w:t>
            </w:r>
            <w:proofErr w:type="spellStart"/>
            <w:r w:rsidRPr="003156B8">
              <w:rPr>
                <w:rFonts w:asciiTheme="minorHAnsi" w:hAnsiTheme="minorHAnsi" w:cstheme="minorHAnsi"/>
                <w:sz w:val="17"/>
                <w:szCs w:val="17"/>
              </w:rPr>
              <w:t>i</w:t>
            </w:r>
            <w:proofErr w:type="spellEnd"/>
            <w:r w:rsidRPr="003156B8">
              <w:rPr>
                <w:rFonts w:asciiTheme="minorHAnsi" w:hAnsiTheme="minorHAnsi" w:cstheme="minorHAnsi"/>
                <w:sz w:val="17"/>
                <w:szCs w:val="17"/>
              </w:rPr>
              <w:t>)</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value of CIL receipts requested from each local council under a notice served in accordance with regulation 59E</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1119" w:type="dxa"/>
          </w:tcPr>
          <w:p w:rsidR="003156B8" w:rsidRPr="003156B8" w:rsidRDefault="003156B8" w:rsidP="003156B8">
            <w:pPr>
              <w:spacing w:line="276" w:lineRule="auto"/>
              <w:jc w:val="center"/>
              <w:rPr>
                <w:rFonts w:cstheme="minorBidi"/>
                <w:sz w:val="17"/>
                <w:szCs w:val="17"/>
                <w:highlight w:val="yellow"/>
              </w:rPr>
            </w:pP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Nil</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Nil</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(cc) (ii)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Any funds not yet recovered from local councils at the end of the monitoring year following a notice served in accordance with Regulation 59E</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1119" w:type="dxa"/>
          </w:tcPr>
          <w:p w:rsidR="003156B8" w:rsidRPr="003156B8" w:rsidRDefault="003156B8" w:rsidP="003156B8">
            <w:pPr>
              <w:spacing w:line="276" w:lineRule="auto"/>
              <w:jc w:val="center"/>
              <w:rPr>
                <w:rFonts w:cstheme="minorBidi"/>
                <w:sz w:val="17"/>
                <w:szCs w:val="17"/>
                <w:highlight w:val="yellow"/>
              </w:rPr>
            </w:pP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(d) (</w:t>
            </w:r>
            <w:proofErr w:type="spellStart"/>
            <w:r w:rsidRPr="003156B8">
              <w:rPr>
                <w:rFonts w:asciiTheme="minorHAnsi" w:hAnsiTheme="minorHAnsi" w:cstheme="minorHAnsi"/>
                <w:sz w:val="17"/>
                <w:szCs w:val="17"/>
              </w:rPr>
              <w:t>i</w:t>
            </w:r>
            <w:proofErr w:type="spellEnd"/>
            <w:r w:rsidRPr="003156B8">
              <w:rPr>
                <w:rFonts w:asciiTheme="minorHAnsi" w:hAnsiTheme="minorHAnsi" w:cstheme="minorHAnsi"/>
                <w:sz w:val="17"/>
                <w:szCs w:val="17"/>
              </w:rPr>
              <w:t>)</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 xml:space="preserve">Total amount of CIL receipts retained at the end of the monitoring year, other than those to which regulation 59E or 59F applied (i.e. CIL recovered from parish councils, or the </w:t>
            </w:r>
            <w:r w:rsidRPr="003156B8">
              <w:rPr>
                <w:rFonts w:asciiTheme="minorHAnsi" w:hAnsiTheme="minorHAnsi" w:cstheme="minorHAnsi"/>
                <w:sz w:val="17"/>
                <w:szCs w:val="17"/>
              </w:rPr>
              <w:lastRenderedPageBreak/>
              <w:t>neighbourhood element of CIL in areas that do not have parish councils)</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lastRenderedPageBreak/>
              <w:t>6,004</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1,103,200</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1,286,957</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846,198*</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2,823,200</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6,065,559</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lastRenderedPageBreak/>
              <w:t>4 (d) (ii)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CIL receipts from previous years retained at the end of the monitoring year other than those to which regulation 59E or 59F applied</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5,651</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1,108,851</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2,395,808</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3,242,006</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N/A</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(d) (iii)</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CIL receipts for the monitoring year to which regulation 59E or 59F applied retained at the end of the monitoring year</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1,060</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191,955</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291,588</w:t>
            </w:r>
          </w:p>
        </w:tc>
        <w:tc>
          <w:tcPr>
            <w:tcW w:w="1119"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130,788**</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627,061</w:t>
            </w:r>
          </w:p>
        </w:tc>
        <w:tc>
          <w:tcPr>
            <w:tcW w:w="992" w:type="dxa"/>
          </w:tcPr>
          <w:p w:rsidR="003156B8" w:rsidRPr="003156B8" w:rsidRDefault="003156B8" w:rsidP="003156B8">
            <w:pPr>
              <w:spacing w:line="276" w:lineRule="auto"/>
              <w:jc w:val="center"/>
              <w:rPr>
                <w:rFonts w:cstheme="minorBidi"/>
                <w:sz w:val="17"/>
                <w:szCs w:val="17"/>
                <w:highlight w:val="yellow"/>
              </w:rPr>
            </w:pPr>
            <w:r w:rsidRPr="003156B8">
              <w:rPr>
                <w:rFonts w:cstheme="minorBidi"/>
                <w:sz w:val="17"/>
                <w:szCs w:val="17"/>
              </w:rPr>
              <w:t>1,242,452</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(d) (iv)</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CIL receipts from previous years to which regulation 59E or 59F applied retained at the end of the monitoring year</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Nil</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1,060</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193,015</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484,603</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615,391</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r>
      <w:tr w:rsidR="003156B8" w:rsidRPr="003156B8" w:rsidTr="003156B8">
        <w:trPr>
          <w:jc w:val="center"/>
        </w:trPr>
        <w:tc>
          <w:tcPr>
            <w:tcW w:w="1173"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(e) (</w:t>
            </w:r>
            <w:proofErr w:type="spellStart"/>
            <w:r w:rsidRPr="003156B8">
              <w:rPr>
                <w:rFonts w:asciiTheme="minorHAnsi" w:hAnsiTheme="minorHAnsi" w:cstheme="minorHAnsi"/>
                <w:sz w:val="17"/>
                <w:szCs w:val="17"/>
              </w:rPr>
              <w:t>i</w:t>
            </w:r>
            <w:proofErr w:type="spellEnd"/>
            <w:r w:rsidRPr="003156B8">
              <w:rPr>
                <w:rFonts w:asciiTheme="minorHAnsi" w:hAnsiTheme="minorHAnsi" w:cstheme="minorHAnsi"/>
                <w:sz w:val="17"/>
                <w:szCs w:val="17"/>
              </w:rPr>
              <w:t>)</w:t>
            </w:r>
          </w:p>
        </w:tc>
        <w:tc>
          <w:tcPr>
            <w:tcW w:w="4450" w:type="dxa"/>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In relation to any infrastructure payments accepted, the items of infrastructure to which the infrastructure payments relate</w:t>
            </w:r>
          </w:p>
        </w:tc>
        <w:tc>
          <w:tcPr>
            <w:tcW w:w="976"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1119"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92" w:type="dxa"/>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r>
      <w:tr w:rsidR="003156B8" w:rsidRPr="003156B8" w:rsidTr="003156B8">
        <w:trPr>
          <w:jc w:val="center"/>
        </w:trPr>
        <w:tc>
          <w:tcPr>
            <w:tcW w:w="1173" w:type="dxa"/>
            <w:tcBorders>
              <w:bottom w:val="single" w:sz="4" w:space="0" w:color="auto"/>
            </w:tcBorders>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(e) (ii)</w:t>
            </w:r>
          </w:p>
        </w:tc>
        <w:tc>
          <w:tcPr>
            <w:tcW w:w="4450" w:type="dxa"/>
            <w:tcBorders>
              <w:bottom w:val="single" w:sz="4" w:space="0" w:color="auto"/>
            </w:tcBorders>
          </w:tcPr>
          <w:p w:rsidR="003156B8" w:rsidRPr="003156B8" w:rsidRDefault="003156B8"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In relation to any infrastructure payments accepted, the amount of CIL to which each item of infrastructure relates</w:t>
            </w:r>
          </w:p>
        </w:tc>
        <w:tc>
          <w:tcPr>
            <w:tcW w:w="976" w:type="dxa"/>
            <w:tcBorders>
              <w:bottom w:val="single" w:sz="4" w:space="0" w:color="auto"/>
            </w:tcBorders>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76" w:type="dxa"/>
            <w:tcBorders>
              <w:bottom w:val="single" w:sz="4" w:space="0" w:color="auto"/>
            </w:tcBorders>
          </w:tcPr>
          <w:p w:rsidR="003156B8" w:rsidRPr="003156B8" w:rsidRDefault="003156B8"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Borders>
              <w:bottom w:val="single" w:sz="4" w:space="0" w:color="auto"/>
            </w:tcBorders>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1119" w:type="dxa"/>
            <w:tcBorders>
              <w:bottom w:val="single" w:sz="4" w:space="0" w:color="auto"/>
            </w:tcBorders>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92" w:type="dxa"/>
            <w:tcBorders>
              <w:bottom w:val="single" w:sz="4" w:space="0" w:color="auto"/>
            </w:tcBorders>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c>
          <w:tcPr>
            <w:tcW w:w="992" w:type="dxa"/>
            <w:tcBorders>
              <w:bottom w:val="single" w:sz="4" w:space="0" w:color="auto"/>
            </w:tcBorders>
          </w:tcPr>
          <w:p w:rsidR="003156B8" w:rsidRPr="003156B8" w:rsidRDefault="003156B8" w:rsidP="003156B8">
            <w:pPr>
              <w:spacing w:line="276" w:lineRule="auto"/>
              <w:jc w:val="center"/>
              <w:rPr>
                <w:rFonts w:cstheme="minorBidi"/>
                <w:sz w:val="17"/>
                <w:szCs w:val="17"/>
              </w:rPr>
            </w:pPr>
            <w:r w:rsidRPr="003156B8">
              <w:rPr>
                <w:rFonts w:cstheme="minorBidi"/>
                <w:sz w:val="17"/>
                <w:szCs w:val="17"/>
              </w:rPr>
              <w:t>N/A</w:t>
            </w:r>
          </w:p>
        </w:tc>
      </w:tr>
    </w:tbl>
    <w:p w:rsidR="0027137A" w:rsidRPr="00311408" w:rsidRDefault="0027137A" w:rsidP="00FF29ED">
      <w:pPr>
        <w:spacing w:before="40" w:line="276" w:lineRule="auto"/>
        <w:jc w:val="center"/>
        <w:rPr>
          <w:rFonts w:cs="Calibri"/>
          <w:sz w:val="20"/>
          <w:szCs w:val="18"/>
        </w:rPr>
      </w:pPr>
      <w:r w:rsidRPr="00311408">
        <w:rPr>
          <w:rFonts w:cs="Calibri"/>
          <w:b/>
          <w:sz w:val="20"/>
          <w:szCs w:val="22"/>
        </w:rPr>
        <w:t>Table 28:</w:t>
      </w:r>
      <w:r w:rsidRPr="00311408">
        <w:rPr>
          <w:rFonts w:cs="Calibri"/>
          <w:szCs w:val="22"/>
        </w:rPr>
        <w:t xml:space="preserve"> </w:t>
      </w:r>
      <w:r w:rsidRPr="00311408">
        <w:rPr>
          <w:rFonts w:cs="Calibri"/>
          <w:sz w:val="20"/>
          <w:szCs w:val="18"/>
        </w:rPr>
        <w:t>Community Infrastruct</w:t>
      </w:r>
      <w:r w:rsidR="003156B8" w:rsidRPr="00311408">
        <w:rPr>
          <w:rFonts w:cs="Calibri"/>
          <w:sz w:val="20"/>
          <w:szCs w:val="18"/>
        </w:rPr>
        <w:t>ure Levy Monitoring 2013/14-2017/18</w:t>
      </w:r>
    </w:p>
    <w:p w:rsidR="003156B8" w:rsidRPr="00BB3D3D" w:rsidRDefault="003156B8" w:rsidP="003156B8">
      <w:pPr>
        <w:spacing w:before="40"/>
        <w:jc w:val="center"/>
        <w:rPr>
          <w:rFonts w:cs="Calibri"/>
          <w:sz w:val="20"/>
          <w:szCs w:val="18"/>
        </w:rPr>
      </w:pPr>
      <w:r>
        <w:rPr>
          <w:rFonts w:cs="Calibri"/>
          <w:sz w:val="20"/>
          <w:szCs w:val="18"/>
        </w:rPr>
        <w:t>*Amended amount due to some late payments for the financial year</w:t>
      </w:r>
    </w:p>
    <w:p w:rsidR="0027137A" w:rsidRPr="00FF29ED" w:rsidRDefault="003156B8" w:rsidP="00FF29ED">
      <w:pPr>
        <w:spacing w:before="40"/>
        <w:rPr>
          <w:rFonts w:cs="Calibri"/>
          <w:sz w:val="20"/>
          <w:szCs w:val="18"/>
        </w:rPr>
      </w:pPr>
      <w:r>
        <w:rPr>
          <w:rFonts w:cs="Calibri"/>
          <w:sz w:val="20"/>
          <w:szCs w:val="18"/>
        </w:rPr>
        <w:t>**</w:t>
      </w:r>
      <w:r w:rsidRPr="00ED0B08">
        <w:rPr>
          <w:rFonts w:cs="Calibri"/>
          <w:sz w:val="20"/>
          <w:szCs w:val="18"/>
        </w:rPr>
        <w:t>this has been amended due to the payment to ward councillors as per 4 (</w:t>
      </w:r>
      <w:proofErr w:type="spellStart"/>
      <w:r w:rsidRPr="00ED0B08">
        <w:rPr>
          <w:rFonts w:cs="Calibri"/>
          <w:sz w:val="20"/>
          <w:szCs w:val="18"/>
        </w:rPr>
        <w:t>cb</w:t>
      </w:r>
      <w:proofErr w:type="spellEnd"/>
      <w:r w:rsidRPr="00ED0B08">
        <w:rPr>
          <w:rFonts w:cs="Calibri"/>
          <w:sz w:val="20"/>
          <w:szCs w:val="18"/>
        </w:rPr>
        <w:t>) iii and a cancelled invoice</w:t>
      </w:r>
    </w:p>
    <w:p w:rsidR="003156B8" w:rsidRPr="00B3624E" w:rsidRDefault="003156B8" w:rsidP="003156B8">
      <w:pPr>
        <w:spacing w:before="40"/>
        <w:rPr>
          <w:rFonts w:cs="Calibri"/>
          <w:sz w:val="20"/>
          <w:szCs w:val="18"/>
        </w:rPr>
      </w:pPr>
    </w:p>
    <w:p w:rsidR="003156B8" w:rsidRPr="00B3624E" w:rsidRDefault="003156B8" w:rsidP="003156B8">
      <w:pPr>
        <w:shd w:val="clear" w:color="auto" w:fill="E5DFEC" w:themeFill="accent4" w:themeFillTint="33"/>
        <w:outlineLvl w:val="1"/>
        <w:rPr>
          <w:b/>
          <w:sz w:val="24"/>
          <w:lang w:eastAsia="en-GB"/>
        </w:rPr>
      </w:pPr>
      <w:bookmarkStart w:id="48" w:name="_Toc467492366"/>
      <w:bookmarkStart w:id="49" w:name="_Toc529178378"/>
      <w:r w:rsidRPr="00B3624E">
        <w:rPr>
          <w:b/>
          <w:sz w:val="24"/>
          <w:lang w:eastAsia="en-GB"/>
        </w:rPr>
        <w:t>S106 AGREEMENT MONITORING</w:t>
      </w:r>
      <w:bookmarkEnd w:id="48"/>
      <w:bookmarkEnd w:id="49"/>
    </w:p>
    <w:p w:rsidR="003156B8" w:rsidRPr="00B3624E" w:rsidRDefault="003156B8" w:rsidP="003156B8">
      <w:pPr>
        <w:ind w:left="142"/>
        <w:jc w:val="both"/>
        <w:rPr>
          <w:rFonts w:cs="Calibri"/>
        </w:rPr>
      </w:pPr>
    </w:p>
    <w:p w:rsidR="003156B8" w:rsidRPr="00B3624E" w:rsidRDefault="003156B8" w:rsidP="00B740FD">
      <w:pPr>
        <w:numPr>
          <w:ilvl w:val="1"/>
          <w:numId w:val="41"/>
        </w:numPr>
        <w:ind w:left="567" w:hanging="567"/>
        <w:jc w:val="both"/>
        <w:rPr>
          <w:rFonts w:cs="Calibri"/>
        </w:rPr>
      </w:pPr>
      <w:r w:rsidRPr="00B3624E">
        <w:rPr>
          <w:rFonts w:cs="Calibri"/>
        </w:rPr>
        <w:t>In 201</w:t>
      </w:r>
      <w:r>
        <w:rPr>
          <w:rFonts w:cs="Calibri"/>
        </w:rPr>
        <w:t>7/18</w:t>
      </w:r>
      <w:r w:rsidRPr="00B3624E">
        <w:rPr>
          <w:rFonts w:cs="Calibri"/>
        </w:rPr>
        <w:t>, £</w:t>
      </w:r>
      <w:r>
        <w:rPr>
          <w:rFonts w:cs="Calibri"/>
        </w:rPr>
        <w:t xml:space="preserve">222,368 </w:t>
      </w:r>
      <w:r w:rsidRPr="00B3624E">
        <w:rPr>
          <w:rFonts w:cs="Calibri"/>
        </w:rPr>
        <w:t>of developer contributions held by the City Council was spent (Table 28).</w:t>
      </w:r>
    </w:p>
    <w:p w:rsidR="003156B8" w:rsidRPr="00B3624E" w:rsidRDefault="003156B8" w:rsidP="003156B8">
      <w:pPr>
        <w:ind w:left="709"/>
        <w:jc w:val="both"/>
        <w:rPr>
          <w:rFonts w:cs="Calibri"/>
          <w:sz w:val="8"/>
        </w:rPr>
      </w:pP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827"/>
        <w:gridCol w:w="3403"/>
      </w:tblGrid>
      <w:tr w:rsidR="003156B8" w:rsidRPr="00B3624E" w:rsidTr="003156B8">
        <w:tc>
          <w:tcPr>
            <w:tcW w:w="3827" w:type="dxa"/>
            <w:shd w:val="clear" w:color="auto" w:fill="CCC0D9" w:themeFill="accent4" w:themeFillTint="66"/>
          </w:tcPr>
          <w:p w:rsidR="003156B8" w:rsidRPr="00B3624E" w:rsidRDefault="003156B8" w:rsidP="003156B8">
            <w:pPr>
              <w:tabs>
                <w:tab w:val="center" w:pos="4513"/>
                <w:tab w:val="right" w:pos="9026"/>
              </w:tabs>
              <w:spacing w:before="40" w:after="40"/>
              <w:jc w:val="center"/>
              <w:rPr>
                <w:b/>
                <w:szCs w:val="22"/>
              </w:rPr>
            </w:pPr>
            <w:r w:rsidRPr="00B3624E">
              <w:rPr>
                <w:b/>
                <w:szCs w:val="22"/>
              </w:rPr>
              <w:t xml:space="preserve">Type of expenditure </w:t>
            </w:r>
          </w:p>
        </w:tc>
        <w:tc>
          <w:tcPr>
            <w:tcW w:w="3403" w:type="dxa"/>
            <w:shd w:val="clear" w:color="auto" w:fill="CCC0D9" w:themeFill="accent4" w:themeFillTint="66"/>
          </w:tcPr>
          <w:p w:rsidR="003156B8" w:rsidRPr="00B3624E" w:rsidRDefault="00ED615C" w:rsidP="003156B8">
            <w:pPr>
              <w:spacing w:before="40" w:after="40"/>
              <w:jc w:val="center"/>
              <w:rPr>
                <w:b/>
                <w:szCs w:val="22"/>
              </w:rPr>
            </w:pPr>
            <w:r>
              <w:rPr>
                <w:b/>
                <w:szCs w:val="22"/>
              </w:rPr>
              <w:t>Expenditure amount 2017/18</w:t>
            </w:r>
          </w:p>
        </w:tc>
      </w:tr>
      <w:tr w:rsidR="003156B8" w:rsidRPr="00B3624E" w:rsidTr="003156B8">
        <w:tc>
          <w:tcPr>
            <w:tcW w:w="3827" w:type="dxa"/>
            <w:shd w:val="clear" w:color="auto" w:fill="auto"/>
          </w:tcPr>
          <w:p w:rsidR="003156B8" w:rsidRPr="00B3624E" w:rsidRDefault="003156B8" w:rsidP="003156B8">
            <w:pPr>
              <w:spacing w:before="40" w:after="40"/>
              <w:ind w:left="72"/>
              <w:rPr>
                <w:rFonts w:cstheme="minorHAnsi"/>
                <w:szCs w:val="22"/>
              </w:rPr>
            </w:pPr>
            <w:r w:rsidRPr="00B3624E">
              <w:rPr>
                <w:rFonts w:cstheme="minorHAnsi"/>
                <w:szCs w:val="22"/>
              </w:rPr>
              <w:t>Park and Ride</w:t>
            </w:r>
          </w:p>
        </w:tc>
        <w:tc>
          <w:tcPr>
            <w:tcW w:w="3403" w:type="dxa"/>
            <w:shd w:val="clear" w:color="auto" w:fill="auto"/>
          </w:tcPr>
          <w:p w:rsidR="003156B8" w:rsidRPr="00B3624E" w:rsidRDefault="003156B8" w:rsidP="003156B8">
            <w:pPr>
              <w:spacing w:before="40" w:after="40"/>
              <w:jc w:val="center"/>
              <w:rPr>
                <w:rFonts w:cstheme="minorHAnsi"/>
                <w:szCs w:val="22"/>
              </w:rPr>
            </w:pPr>
            <w:r>
              <w:rPr>
                <w:rFonts w:cs="Calibri"/>
              </w:rPr>
              <w:t>£166,126</w:t>
            </w:r>
          </w:p>
        </w:tc>
      </w:tr>
      <w:tr w:rsidR="003156B8" w:rsidRPr="00B3624E" w:rsidTr="003156B8">
        <w:tc>
          <w:tcPr>
            <w:tcW w:w="3827" w:type="dxa"/>
            <w:shd w:val="clear" w:color="auto" w:fill="auto"/>
          </w:tcPr>
          <w:p w:rsidR="003156B8" w:rsidRPr="00B3624E" w:rsidRDefault="003156B8" w:rsidP="003156B8">
            <w:pPr>
              <w:spacing w:before="40" w:after="40"/>
              <w:ind w:left="72"/>
              <w:rPr>
                <w:rFonts w:cstheme="minorHAnsi"/>
                <w:szCs w:val="22"/>
              </w:rPr>
            </w:pPr>
            <w:r w:rsidRPr="00B3624E">
              <w:rPr>
                <w:rFonts w:cstheme="minorHAnsi"/>
                <w:szCs w:val="22"/>
              </w:rPr>
              <w:t>Leisure</w:t>
            </w:r>
          </w:p>
        </w:tc>
        <w:tc>
          <w:tcPr>
            <w:tcW w:w="3403" w:type="dxa"/>
            <w:shd w:val="clear" w:color="auto" w:fill="auto"/>
          </w:tcPr>
          <w:p w:rsidR="003156B8" w:rsidRPr="00B3624E" w:rsidRDefault="003156B8" w:rsidP="003156B8">
            <w:pPr>
              <w:spacing w:before="40" w:after="40"/>
              <w:jc w:val="center"/>
              <w:rPr>
                <w:rFonts w:cstheme="minorHAnsi"/>
                <w:szCs w:val="22"/>
              </w:rPr>
            </w:pPr>
            <w:r>
              <w:rPr>
                <w:rFonts w:cs="Calibri"/>
              </w:rPr>
              <w:t>£43,350</w:t>
            </w:r>
          </w:p>
        </w:tc>
      </w:tr>
      <w:tr w:rsidR="003156B8" w:rsidRPr="00B3624E" w:rsidTr="003156B8">
        <w:tc>
          <w:tcPr>
            <w:tcW w:w="3827" w:type="dxa"/>
            <w:shd w:val="clear" w:color="auto" w:fill="auto"/>
          </w:tcPr>
          <w:p w:rsidR="003156B8" w:rsidRPr="00B3624E" w:rsidRDefault="003156B8" w:rsidP="003156B8">
            <w:pPr>
              <w:spacing w:before="40" w:after="40"/>
              <w:ind w:left="72"/>
              <w:rPr>
                <w:rFonts w:cstheme="minorHAnsi"/>
                <w:szCs w:val="22"/>
              </w:rPr>
            </w:pPr>
            <w:r w:rsidRPr="00B3624E">
              <w:rPr>
                <w:rFonts w:cstheme="minorHAnsi"/>
                <w:szCs w:val="22"/>
              </w:rPr>
              <w:t>Environmental improvements</w:t>
            </w:r>
          </w:p>
        </w:tc>
        <w:tc>
          <w:tcPr>
            <w:tcW w:w="3403" w:type="dxa"/>
            <w:shd w:val="clear" w:color="auto" w:fill="auto"/>
          </w:tcPr>
          <w:p w:rsidR="003156B8" w:rsidRPr="00B3624E" w:rsidRDefault="003156B8" w:rsidP="003156B8">
            <w:pPr>
              <w:spacing w:before="40" w:after="40"/>
              <w:jc w:val="center"/>
              <w:rPr>
                <w:rFonts w:cstheme="minorHAnsi"/>
                <w:szCs w:val="22"/>
              </w:rPr>
            </w:pPr>
            <w:r>
              <w:rPr>
                <w:rFonts w:cs="Calibri"/>
              </w:rPr>
              <w:t>£12,892</w:t>
            </w:r>
          </w:p>
        </w:tc>
      </w:tr>
      <w:tr w:rsidR="003156B8" w:rsidRPr="00B3624E" w:rsidTr="003156B8">
        <w:tc>
          <w:tcPr>
            <w:tcW w:w="3827" w:type="dxa"/>
            <w:shd w:val="clear" w:color="auto" w:fill="F2F2F2" w:themeFill="background1" w:themeFillShade="F2"/>
          </w:tcPr>
          <w:p w:rsidR="003156B8" w:rsidRPr="00B3624E" w:rsidRDefault="003156B8" w:rsidP="003156B8">
            <w:pPr>
              <w:spacing w:before="40" w:after="40"/>
              <w:ind w:left="72"/>
              <w:rPr>
                <w:rFonts w:cstheme="minorHAnsi"/>
                <w:b/>
                <w:szCs w:val="22"/>
              </w:rPr>
            </w:pPr>
            <w:r w:rsidRPr="00B3624E">
              <w:rPr>
                <w:rFonts w:cstheme="minorHAnsi"/>
                <w:b/>
                <w:szCs w:val="22"/>
              </w:rPr>
              <w:t>Total</w:t>
            </w:r>
          </w:p>
        </w:tc>
        <w:tc>
          <w:tcPr>
            <w:tcW w:w="3403" w:type="dxa"/>
            <w:shd w:val="clear" w:color="auto" w:fill="F2F2F2" w:themeFill="background1" w:themeFillShade="F2"/>
          </w:tcPr>
          <w:p w:rsidR="003156B8" w:rsidRPr="00B3624E" w:rsidRDefault="003156B8" w:rsidP="003156B8">
            <w:pPr>
              <w:spacing w:before="40" w:after="40"/>
              <w:jc w:val="center"/>
              <w:rPr>
                <w:rFonts w:cs="Calibri"/>
                <w:b/>
              </w:rPr>
            </w:pPr>
            <w:r>
              <w:rPr>
                <w:rFonts w:cs="Calibri"/>
                <w:b/>
              </w:rPr>
              <w:t>£222,368</w:t>
            </w:r>
          </w:p>
        </w:tc>
      </w:tr>
    </w:tbl>
    <w:p w:rsidR="003156B8" w:rsidRPr="00B3624E" w:rsidRDefault="003156B8" w:rsidP="003156B8">
      <w:pPr>
        <w:spacing w:before="40" w:after="200"/>
        <w:ind w:left="357"/>
        <w:jc w:val="center"/>
        <w:rPr>
          <w:rFonts w:cs="Calibri"/>
          <w:sz w:val="20"/>
          <w:szCs w:val="18"/>
        </w:rPr>
      </w:pPr>
      <w:r w:rsidRPr="00B3624E">
        <w:rPr>
          <w:rFonts w:cs="Calibri"/>
          <w:b/>
          <w:sz w:val="20"/>
        </w:rPr>
        <w:t>Table 28:</w:t>
      </w:r>
      <w:r w:rsidRPr="00B3624E">
        <w:rPr>
          <w:rFonts w:cs="Calibri"/>
        </w:rPr>
        <w:t xml:space="preserve"> </w:t>
      </w:r>
      <w:r w:rsidRPr="00B3624E">
        <w:rPr>
          <w:rFonts w:cs="Calibri"/>
          <w:sz w:val="20"/>
          <w:szCs w:val="18"/>
        </w:rPr>
        <w:t>S106 expenditure 201</w:t>
      </w:r>
      <w:r>
        <w:rPr>
          <w:rFonts w:cs="Calibri"/>
          <w:sz w:val="20"/>
          <w:szCs w:val="18"/>
        </w:rPr>
        <w:t>7/18</w:t>
      </w:r>
    </w:p>
    <w:p w:rsidR="003156B8" w:rsidRPr="00B3624E" w:rsidRDefault="003156B8" w:rsidP="00B740FD">
      <w:pPr>
        <w:numPr>
          <w:ilvl w:val="1"/>
          <w:numId w:val="41"/>
        </w:numPr>
        <w:spacing w:after="200"/>
        <w:ind w:left="567" w:hanging="567"/>
        <w:jc w:val="both"/>
        <w:rPr>
          <w:rFonts w:cs="Calibri"/>
        </w:rPr>
      </w:pPr>
      <w:r>
        <w:rPr>
          <w:rFonts w:cs="Calibri"/>
        </w:rPr>
        <w:t>As of 1 April 2018</w:t>
      </w:r>
      <w:r w:rsidRPr="00B3624E">
        <w:rPr>
          <w:rFonts w:cs="Calibri"/>
        </w:rPr>
        <w:t xml:space="preserve"> the City Council held </w:t>
      </w:r>
      <w:r w:rsidRPr="00B3624E">
        <w:rPr>
          <w:rFonts w:cstheme="minorHAnsi"/>
        </w:rPr>
        <w:t>£</w:t>
      </w:r>
      <w:r>
        <w:rPr>
          <w:rFonts w:cstheme="minorHAnsi"/>
        </w:rPr>
        <w:t xml:space="preserve">3,827,314 </w:t>
      </w:r>
      <w:r w:rsidRPr="00B3624E">
        <w:rPr>
          <w:rFonts w:cs="Calibri"/>
        </w:rPr>
        <w:t>of developer funding which is due for expenditure (subject to Council approval) as set out in Table 29.</w:t>
      </w: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835"/>
        <w:gridCol w:w="2410"/>
        <w:gridCol w:w="2410"/>
      </w:tblGrid>
      <w:tr w:rsidR="003156B8" w:rsidRPr="00B3624E" w:rsidTr="003156B8">
        <w:tc>
          <w:tcPr>
            <w:tcW w:w="2835" w:type="dxa"/>
            <w:tcBorders>
              <w:top w:val="nil"/>
              <w:left w:val="nil"/>
            </w:tcBorders>
            <w:shd w:val="clear" w:color="auto" w:fill="auto"/>
          </w:tcPr>
          <w:p w:rsidR="003156B8" w:rsidRPr="00B3624E" w:rsidRDefault="003156B8" w:rsidP="003156B8">
            <w:pPr>
              <w:tabs>
                <w:tab w:val="center" w:pos="4513"/>
                <w:tab w:val="right" w:pos="9026"/>
              </w:tabs>
              <w:spacing w:before="40" w:after="40"/>
              <w:ind w:left="360"/>
              <w:rPr>
                <w:b/>
                <w:color w:val="403152" w:themeColor="accent4" w:themeShade="80"/>
                <w:szCs w:val="22"/>
              </w:rPr>
            </w:pPr>
          </w:p>
        </w:tc>
        <w:tc>
          <w:tcPr>
            <w:tcW w:w="4820" w:type="dxa"/>
            <w:gridSpan w:val="2"/>
            <w:shd w:val="clear" w:color="auto" w:fill="CCC0D9" w:themeFill="accent4" w:themeFillTint="66"/>
          </w:tcPr>
          <w:p w:rsidR="003156B8" w:rsidRPr="00B3624E" w:rsidRDefault="003156B8" w:rsidP="003156B8">
            <w:pPr>
              <w:spacing w:before="40"/>
              <w:contextualSpacing/>
              <w:jc w:val="center"/>
              <w:rPr>
                <w:b/>
                <w:szCs w:val="22"/>
              </w:rPr>
            </w:pPr>
            <w:r w:rsidRPr="00B3624E">
              <w:rPr>
                <w:b/>
                <w:szCs w:val="22"/>
              </w:rPr>
              <w:t>Amount of s106 developer contributions</w:t>
            </w:r>
          </w:p>
          <w:p w:rsidR="003156B8" w:rsidRPr="00B3624E" w:rsidRDefault="003156B8" w:rsidP="003156B8">
            <w:pPr>
              <w:spacing w:after="40"/>
              <w:contextualSpacing/>
              <w:jc w:val="center"/>
              <w:rPr>
                <w:b/>
                <w:szCs w:val="22"/>
              </w:rPr>
            </w:pPr>
            <w:r w:rsidRPr="00B3624E">
              <w:rPr>
                <w:b/>
                <w:szCs w:val="22"/>
              </w:rPr>
              <w:t xml:space="preserve"> due for expenditure</w:t>
            </w:r>
          </w:p>
        </w:tc>
      </w:tr>
      <w:tr w:rsidR="003156B8" w:rsidRPr="00B3624E" w:rsidTr="003156B8">
        <w:tc>
          <w:tcPr>
            <w:tcW w:w="2835" w:type="dxa"/>
            <w:shd w:val="clear" w:color="auto" w:fill="CCC0D9" w:themeFill="accent4" w:themeFillTint="66"/>
          </w:tcPr>
          <w:p w:rsidR="003156B8" w:rsidRPr="00B3624E" w:rsidRDefault="003156B8" w:rsidP="003156B8">
            <w:pPr>
              <w:tabs>
                <w:tab w:val="center" w:pos="4513"/>
                <w:tab w:val="right" w:pos="9026"/>
              </w:tabs>
              <w:spacing w:before="40" w:after="40"/>
              <w:jc w:val="center"/>
              <w:rPr>
                <w:b/>
                <w:color w:val="403152" w:themeColor="accent4" w:themeShade="80"/>
                <w:szCs w:val="22"/>
              </w:rPr>
            </w:pPr>
            <w:r w:rsidRPr="00B3624E">
              <w:rPr>
                <w:b/>
                <w:szCs w:val="22"/>
              </w:rPr>
              <w:t xml:space="preserve">Type of expenditure </w:t>
            </w:r>
          </w:p>
        </w:tc>
        <w:tc>
          <w:tcPr>
            <w:tcW w:w="2410" w:type="dxa"/>
            <w:shd w:val="clear" w:color="auto" w:fill="E5DFEC" w:themeFill="accent4" w:themeFillTint="33"/>
          </w:tcPr>
          <w:p w:rsidR="003156B8" w:rsidRPr="00B3624E" w:rsidRDefault="003156B8" w:rsidP="003156B8">
            <w:pPr>
              <w:spacing w:before="40" w:after="40"/>
              <w:jc w:val="center"/>
              <w:rPr>
                <w:b/>
                <w:szCs w:val="22"/>
              </w:rPr>
            </w:pPr>
            <w:r>
              <w:rPr>
                <w:b/>
                <w:szCs w:val="22"/>
              </w:rPr>
              <w:t>2018/19</w:t>
            </w:r>
          </w:p>
        </w:tc>
        <w:tc>
          <w:tcPr>
            <w:tcW w:w="2410" w:type="dxa"/>
            <w:shd w:val="clear" w:color="auto" w:fill="E5DFEC" w:themeFill="accent4" w:themeFillTint="33"/>
          </w:tcPr>
          <w:p w:rsidR="003156B8" w:rsidRPr="00B3624E" w:rsidRDefault="003156B8" w:rsidP="003156B8">
            <w:pPr>
              <w:spacing w:before="40" w:after="40"/>
              <w:jc w:val="center"/>
              <w:rPr>
                <w:b/>
                <w:szCs w:val="22"/>
              </w:rPr>
            </w:pPr>
            <w:r>
              <w:rPr>
                <w:b/>
                <w:szCs w:val="22"/>
              </w:rPr>
              <w:t xml:space="preserve">2019/20 </w:t>
            </w:r>
            <w:r w:rsidRPr="00B3624E">
              <w:rPr>
                <w:b/>
                <w:szCs w:val="22"/>
              </w:rPr>
              <w:t>and beyond</w:t>
            </w:r>
          </w:p>
        </w:tc>
      </w:tr>
      <w:tr w:rsidR="003156B8" w:rsidRPr="00B3624E" w:rsidTr="003156B8">
        <w:tc>
          <w:tcPr>
            <w:tcW w:w="2835" w:type="dxa"/>
            <w:shd w:val="clear" w:color="auto" w:fill="auto"/>
          </w:tcPr>
          <w:p w:rsidR="003156B8" w:rsidRPr="00B3624E" w:rsidRDefault="003156B8" w:rsidP="003156B8">
            <w:pPr>
              <w:spacing w:before="40" w:after="40"/>
              <w:ind w:left="72"/>
              <w:rPr>
                <w:szCs w:val="22"/>
              </w:rPr>
            </w:pPr>
            <w:r w:rsidRPr="00B3624E">
              <w:rPr>
                <w:szCs w:val="22"/>
              </w:rPr>
              <w:t>Affordable housing</w:t>
            </w:r>
          </w:p>
        </w:tc>
        <w:tc>
          <w:tcPr>
            <w:tcW w:w="2410" w:type="dxa"/>
            <w:shd w:val="clear" w:color="auto" w:fill="auto"/>
          </w:tcPr>
          <w:p w:rsidR="003156B8" w:rsidRPr="00B3624E" w:rsidRDefault="003156B8" w:rsidP="003156B8">
            <w:pPr>
              <w:spacing w:before="40" w:after="40"/>
              <w:jc w:val="center"/>
              <w:rPr>
                <w:rFonts w:cs="Calibri"/>
              </w:rPr>
            </w:pPr>
            <w:r>
              <w:rPr>
                <w:rFonts w:cs="Calibri"/>
              </w:rPr>
              <w:t>Nil</w:t>
            </w:r>
          </w:p>
        </w:tc>
        <w:tc>
          <w:tcPr>
            <w:tcW w:w="2410" w:type="dxa"/>
            <w:shd w:val="clear" w:color="auto" w:fill="auto"/>
          </w:tcPr>
          <w:p w:rsidR="003156B8" w:rsidRPr="00B3624E" w:rsidRDefault="003156B8" w:rsidP="003156B8">
            <w:pPr>
              <w:spacing w:before="40" w:after="40"/>
              <w:jc w:val="center"/>
              <w:rPr>
                <w:rFonts w:cs="Calibri"/>
              </w:rPr>
            </w:pPr>
            <w:r>
              <w:rPr>
                <w:rFonts w:cs="Calibri"/>
              </w:rPr>
              <w:t>£2,980,139</w:t>
            </w:r>
          </w:p>
        </w:tc>
      </w:tr>
      <w:tr w:rsidR="003156B8" w:rsidRPr="00B3624E" w:rsidTr="003156B8">
        <w:tc>
          <w:tcPr>
            <w:tcW w:w="2835" w:type="dxa"/>
            <w:shd w:val="clear" w:color="auto" w:fill="auto"/>
          </w:tcPr>
          <w:p w:rsidR="003156B8" w:rsidRPr="00B3624E" w:rsidRDefault="003156B8" w:rsidP="003156B8">
            <w:pPr>
              <w:spacing w:before="40" w:after="40"/>
              <w:ind w:left="72"/>
              <w:rPr>
                <w:szCs w:val="22"/>
              </w:rPr>
            </w:pPr>
            <w:r w:rsidRPr="00B3624E">
              <w:rPr>
                <w:szCs w:val="22"/>
              </w:rPr>
              <w:t>Community facilities</w:t>
            </w:r>
          </w:p>
        </w:tc>
        <w:tc>
          <w:tcPr>
            <w:tcW w:w="2410" w:type="dxa"/>
            <w:shd w:val="clear" w:color="auto" w:fill="auto"/>
          </w:tcPr>
          <w:p w:rsidR="003156B8" w:rsidRPr="00B3624E" w:rsidRDefault="003156B8" w:rsidP="003156B8">
            <w:pPr>
              <w:spacing w:before="40" w:after="40"/>
              <w:jc w:val="center"/>
              <w:rPr>
                <w:rFonts w:cs="Calibri"/>
              </w:rPr>
            </w:pPr>
            <w:r>
              <w:rPr>
                <w:rFonts w:cs="Calibri"/>
              </w:rPr>
              <w:t>£19,886</w:t>
            </w:r>
          </w:p>
        </w:tc>
        <w:tc>
          <w:tcPr>
            <w:tcW w:w="2410" w:type="dxa"/>
            <w:shd w:val="clear" w:color="auto" w:fill="auto"/>
          </w:tcPr>
          <w:p w:rsidR="003156B8" w:rsidRPr="00B3624E" w:rsidRDefault="003156B8" w:rsidP="003156B8">
            <w:pPr>
              <w:spacing w:before="40" w:after="40"/>
              <w:jc w:val="center"/>
              <w:rPr>
                <w:rFonts w:cs="Calibri"/>
              </w:rPr>
            </w:pPr>
            <w:r>
              <w:rPr>
                <w:rFonts w:cs="Calibri"/>
              </w:rPr>
              <w:t>£100,000</w:t>
            </w:r>
          </w:p>
        </w:tc>
      </w:tr>
      <w:tr w:rsidR="003156B8" w:rsidRPr="00B3624E" w:rsidTr="003156B8">
        <w:tc>
          <w:tcPr>
            <w:tcW w:w="2835" w:type="dxa"/>
            <w:shd w:val="clear" w:color="auto" w:fill="auto"/>
          </w:tcPr>
          <w:p w:rsidR="003156B8" w:rsidRPr="00B3624E" w:rsidRDefault="003156B8" w:rsidP="003156B8">
            <w:pPr>
              <w:spacing w:before="40" w:after="40"/>
              <w:ind w:left="72"/>
              <w:rPr>
                <w:szCs w:val="22"/>
              </w:rPr>
            </w:pPr>
            <w:r w:rsidRPr="00B3624E">
              <w:rPr>
                <w:szCs w:val="22"/>
              </w:rPr>
              <w:t>Pedestrian infrastructure</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Nil</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£220,420</w:t>
            </w:r>
          </w:p>
        </w:tc>
      </w:tr>
      <w:tr w:rsidR="003156B8" w:rsidRPr="00B3624E" w:rsidTr="003156B8">
        <w:tc>
          <w:tcPr>
            <w:tcW w:w="2835" w:type="dxa"/>
            <w:shd w:val="clear" w:color="auto" w:fill="auto"/>
          </w:tcPr>
          <w:p w:rsidR="003156B8" w:rsidRPr="00B3624E" w:rsidRDefault="003156B8" w:rsidP="003156B8">
            <w:pPr>
              <w:spacing w:before="40" w:after="40"/>
              <w:ind w:left="72"/>
              <w:rPr>
                <w:szCs w:val="22"/>
              </w:rPr>
            </w:pPr>
            <w:r w:rsidRPr="00B3624E">
              <w:rPr>
                <w:szCs w:val="22"/>
              </w:rPr>
              <w:t>Leisure</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w:t>
            </w:r>
            <w:r>
              <w:rPr>
                <w:rFonts w:cs="Calibri"/>
              </w:rPr>
              <w:t>45,753</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w:t>
            </w:r>
            <w:r>
              <w:rPr>
                <w:rFonts w:cs="Calibri"/>
              </w:rPr>
              <w:t>162,258</w:t>
            </w:r>
          </w:p>
        </w:tc>
      </w:tr>
      <w:tr w:rsidR="003156B8" w:rsidRPr="00B3624E" w:rsidTr="003156B8">
        <w:tc>
          <w:tcPr>
            <w:tcW w:w="2835" w:type="dxa"/>
            <w:shd w:val="clear" w:color="auto" w:fill="auto"/>
          </w:tcPr>
          <w:p w:rsidR="003156B8" w:rsidRPr="00B3624E" w:rsidRDefault="003156B8" w:rsidP="003156B8">
            <w:pPr>
              <w:spacing w:before="40" w:after="40"/>
              <w:ind w:left="72"/>
              <w:rPr>
                <w:szCs w:val="22"/>
              </w:rPr>
            </w:pPr>
            <w:r w:rsidRPr="00B3624E">
              <w:rPr>
                <w:szCs w:val="22"/>
              </w:rPr>
              <w:t>Environmental improvements</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£92,000</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£168,174</w:t>
            </w:r>
          </w:p>
        </w:tc>
      </w:tr>
      <w:tr w:rsidR="003156B8" w:rsidRPr="00B3624E" w:rsidTr="003156B8">
        <w:tc>
          <w:tcPr>
            <w:tcW w:w="2835" w:type="dxa"/>
            <w:shd w:val="clear" w:color="auto" w:fill="auto"/>
          </w:tcPr>
          <w:p w:rsidR="003156B8" w:rsidRPr="00B3624E" w:rsidRDefault="003156B8" w:rsidP="003156B8">
            <w:pPr>
              <w:spacing w:before="40" w:after="40"/>
              <w:ind w:left="72"/>
              <w:rPr>
                <w:szCs w:val="22"/>
              </w:rPr>
            </w:pPr>
            <w:r w:rsidRPr="00B3624E">
              <w:rPr>
                <w:szCs w:val="22"/>
              </w:rPr>
              <w:t>Works of art</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Nil</w:t>
            </w:r>
          </w:p>
        </w:tc>
        <w:tc>
          <w:tcPr>
            <w:tcW w:w="2410" w:type="dxa"/>
            <w:shd w:val="clear" w:color="auto" w:fill="auto"/>
          </w:tcPr>
          <w:p w:rsidR="003156B8" w:rsidRPr="00585E05" w:rsidRDefault="003156B8" w:rsidP="003156B8">
            <w:pPr>
              <w:spacing w:before="40" w:after="40"/>
              <w:jc w:val="center"/>
              <w:rPr>
                <w:rFonts w:cs="Calibri"/>
              </w:rPr>
            </w:pPr>
            <w:r w:rsidRPr="00585E05">
              <w:rPr>
                <w:rFonts w:cs="Calibri"/>
              </w:rPr>
              <w:t>£38,684</w:t>
            </w:r>
          </w:p>
        </w:tc>
      </w:tr>
      <w:tr w:rsidR="003156B8" w:rsidRPr="00B3624E" w:rsidTr="003156B8">
        <w:tc>
          <w:tcPr>
            <w:tcW w:w="2835" w:type="dxa"/>
            <w:shd w:val="clear" w:color="auto" w:fill="F2F2F2" w:themeFill="background1" w:themeFillShade="F2"/>
          </w:tcPr>
          <w:p w:rsidR="003156B8" w:rsidRPr="00B3624E" w:rsidRDefault="003156B8" w:rsidP="003156B8">
            <w:pPr>
              <w:spacing w:before="40" w:after="40"/>
              <w:ind w:left="72"/>
              <w:rPr>
                <w:b/>
                <w:szCs w:val="22"/>
              </w:rPr>
            </w:pPr>
            <w:r w:rsidRPr="00B3624E">
              <w:rPr>
                <w:b/>
                <w:szCs w:val="22"/>
              </w:rPr>
              <w:t>Total amount due for expenditure</w:t>
            </w:r>
          </w:p>
        </w:tc>
        <w:tc>
          <w:tcPr>
            <w:tcW w:w="2410" w:type="dxa"/>
            <w:shd w:val="clear" w:color="auto" w:fill="F2F2F2" w:themeFill="background1" w:themeFillShade="F2"/>
          </w:tcPr>
          <w:p w:rsidR="003156B8" w:rsidRPr="00D63CCF" w:rsidRDefault="003156B8" w:rsidP="003156B8">
            <w:pPr>
              <w:spacing w:before="40" w:after="40"/>
              <w:jc w:val="center"/>
              <w:rPr>
                <w:rFonts w:cs="Calibri"/>
                <w:b/>
              </w:rPr>
            </w:pPr>
            <w:r w:rsidRPr="00D63CCF">
              <w:rPr>
                <w:rFonts w:cs="Calibri"/>
                <w:b/>
              </w:rPr>
              <w:t>£157,639</w:t>
            </w:r>
          </w:p>
        </w:tc>
        <w:tc>
          <w:tcPr>
            <w:tcW w:w="2410" w:type="dxa"/>
            <w:shd w:val="clear" w:color="auto" w:fill="F2F2F2" w:themeFill="background1" w:themeFillShade="F2"/>
          </w:tcPr>
          <w:p w:rsidR="003156B8" w:rsidRPr="00D63CCF" w:rsidRDefault="003156B8" w:rsidP="003156B8">
            <w:pPr>
              <w:spacing w:before="40" w:after="40"/>
              <w:jc w:val="center"/>
              <w:rPr>
                <w:rFonts w:cs="Calibri"/>
                <w:b/>
              </w:rPr>
            </w:pPr>
            <w:r w:rsidRPr="00D63CCF">
              <w:rPr>
                <w:rFonts w:cs="Calibri"/>
                <w:b/>
              </w:rPr>
              <w:t>£3,669,675</w:t>
            </w:r>
          </w:p>
        </w:tc>
      </w:tr>
    </w:tbl>
    <w:p w:rsidR="00ED615C" w:rsidRPr="00FF29ED" w:rsidRDefault="003156B8" w:rsidP="00FF29ED">
      <w:pPr>
        <w:spacing w:before="40" w:after="200"/>
        <w:ind w:left="357"/>
        <w:jc w:val="center"/>
        <w:rPr>
          <w:rFonts w:cs="Calibri"/>
          <w:sz w:val="20"/>
          <w:szCs w:val="18"/>
        </w:rPr>
      </w:pPr>
      <w:r w:rsidRPr="00B3624E">
        <w:rPr>
          <w:rFonts w:cs="Calibri"/>
          <w:b/>
          <w:sz w:val="20"/>
        </w:rPr>
        <w:t>Table 29:</w:t>
      </w:r>
      <w:r w:rsidRPr="00B3624E">
        <w:rPr>
          <w:rFonts w:cs="Calibri"/>
        </w:rPr>
        <w:t xml:space="preserve"> </w:t>
      </w:r>
      <w:r w:rsidRPr="00B3624E">
        <w:rPr>
          <w:rFonts w:cs="Calibri"/>
          <w:sz w:val="20"/>
          <w:szCs w:val="18"/>
        </w:rPr>
        <w:t>S106 money due for expenditure in 2017/18 and beyond</w:t>
      </w:r>
      <w:r w:rsidRPr="00B3624E">
        <w:rPr>
          <w:rFonts w:cs="Calibri"/>
          <w:sz w:val="20"/>
          <w:szCs w:val="18"/>
          <w:vertAlign w:val="superscript"/>
        </w:rPr>
        <w:footnoteReference w:id="50"/>
      </w:r>
    </w:p>
    <w:p w:rsidR="0027137A" w:rsidRPr="00CF31F6" w:rsidRDefault="0027137A" w:rsidP="0027137A">
      <w:pPr>
        <w:pStyle w:val="Heading1"/>
      </w:pPr>
      <w:bookmarkStart w:id="50" w:name="_Toc529178379"/>
      <w:r w:rsidRPr="00CF31F6">
        <w:lastRenderedPageBreak/>
        <w:t>Glossary</w:t>
      </w:r>
      <w:bookmarkEnd w:id="50"/>
    </w:p>
    <w:p w:rsidR="0027137A" w:rsidRDefault="0027137A" w:rsidP="0027137A">
      <w:pPr>
        <w:jc w:val="both"/>
        <w:rPr>
          <w:b/>
        </w:rPr>
      </w:pPr>
    </w:p>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Affordable housing</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 xml:space="preserve">Homes </w:t>
            </w:r>
            <w:proofErr w:type="gramStart"/>
            <w:r w:rsidRPr="00CC70AE">
              <w:rPr>
                <w:sz w:val="21"/>
                <w:szCs w:val="21"/>
              </w:rPr>
              <w:t>that are</w:t>
            </w:r>
            <w:proofErr w:type="gramEnd"/>
            <w:r w:rsidRPr="00CC70AE">
              <w:rPr>
                <w:sz w:val="21"/>
                <w:szCs w:val="21"/>
              </w:rPr>
              <w:t xml:space="preserve"> available at a rent or price that can be afforded by people who are in housing need. It includes social rented housing, intermediate affordable housing and shared ownership housing.</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Appeal</w:t>
            </w:r>
          </w:p>
          <w:p w:rsidR="0027137A" w:rsidRPr="00CC70AE" w:rsidRDefault="0027137A" w:rsidP="00292336">
            <w:pPr>
              <w:pStyle w:val="Header"/>
              <w:rPr>
                <w:b/>
                <w:bCs/>
                <w:color w:val="FFFFFF"/>
                <w:sz w:val="21"/>
                <w:szCs w:val="21"/>
              </w:rPr>
            </w:pP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If a planning application is refused, is not determined on time, or is permitted with conditions that the applicant does not agree with, then applicant has the right to appeal. The case will then be reviewed by the Planning Inspectorate.</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Area Action Plan (AAP)</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AAPs form part of the Local Plan. They guide development in key growth areas by establishing area specific objectives, policies and proposals.</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Article 4 Direction</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A direction which withdraws automatic planning permission granted by the General Permitted Development Order.</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Biodiversity</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Diversity of plant and animal life, usually measured by number of species.</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rsidR="0027137A" w:rsidRPr="00CC70AE" w:rsidRDefault="0027137A" w:rsidP="00292336">
            <w:pPr>
              <w:tabs>
                <w:tab w:val="left" w:pos="1890"/>
              </w:tabs>
              <w:autoSpaceDE w:val="0"/>
              <w:autoSpaceDN w:val="0"/>
              <w:adjustRightInd w:val="0"/>
              <w:rPr>
                <w:rFonts w:asciiTheme="minorHAnsi" w:hAnsiTheme="minorHAnsi" w:cstheme="minorHAnsi"/>
                <w:sz w:val="21"/>
                <w:szCs w:val="21"/>
                <w:lang w:eastAsia="en-GB"/>
              </w:rPr>
            </w:pPr>
            <w:r w:rsidRPr="00CC70AE">
              <w:rPr>
                <w:rFonts w:asciiTheme="minorHAnsi" w:hAnsiTheme="minorHAnsi" w:cstheme="minorHAnsi"/>
                <w:sz w:val="21"/>
                <w:szCs w:val="21"/>
              </w:rPr>
              <w:t>CIL is a standard charge on new development which is used to help fund infrastructure provision.</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color w:val="FFFFFF"/>
                <w:sz w:val="21"/>
                <w:szCs w:val="21"/>
              </w:rPr>
            </w:pPr>
            <w:r w:rsidRPr="00CC70AE">
              <w:rPr>
                <w:b/>
                <w:bCs/>
                <w:color w:val="FFFFFF"/>
                <w:sz w:val="21"/>
                <w:szCs w:val="21"/>
              </w:rPr>
              <w:t>Core Strategy</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One of the documents in Oxford’s Local Plan. It sets out the long-term spatial vision for the city, with objectives and policies to deliver that vision.</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Duty to Cooperate</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 xml:space="preserve">A legal duty that requires local planning authorities to work with neighbouring authorities and key public bodies to maximise the effectiveness of Local Plan preparation in relation to strategic cross boundary matters. </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Dwelling</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 xml:space="preserve">A self-contained unit of residential accommodation (house, flat, maisonette, studio, </w:t>
            </w:r>
            <w:proofErr w:type="spellStart"/>
            <w:r w:rsidRPr="00CC70AE">
              <w:rPr>
                <w:sz w:val="21"/>
                <w:szCs w:val="21"/>
              </w:rPr>
              <w:t>etc</w:t>
            </w:r>
            <w:proofErr w:type="spellEnd"/>
            <w:r w:rsidRPr="00CC70AE">
              <w:rPr>
                <w:sz w:val="21"/>
                <w:szCs w:val="21"/>
              </w:rPr>
              <w:t>) but not a house in multiple occupation (HMO), bedsit or communal home.</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Green Belt</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highlight w:val="yellow"/>
              </w:rPr>
            </w:pPr>
            <w:r w:rsidRPr="00CC70AE">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Greenfield land</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There is no formal definition of greenfield land since the revocation of the Town and Country Planning (Residential Development on Greenfield Land) (England) Direction 2000 in 2007.</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Gross Internal Area (GIA)</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The area of a building measured to the internal face of the perimeter walls at each level.</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Heritage Asset</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Houses in Multiple Occupation (HMOs)</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rFonts w:asciiTheme="minorHAnsi" w:hAnsiTheme="minorHAnsi" w:cstheme="minorHAnsi"/>
                <w:sz w:val="21"/>
                <w:szCs w:val="21"/>
              </w:rPr>
            </w:pPr>
            <w:r w:rsidRPr="00CC70AE">
              <w:rPr>
                <w:rFonts w:asciiTheme="minorHAnsi" w:hAnsiTheme="minorHAnsi" w:cstheme="minorHAnsi"/>
                <w:sz w:val="21"/>
                <w:szCs w:val="21"/>
              </w:rPr>
              <w:t>Shared houses occupied by three or more unrelated individuals, as their only or main residence, who share basic amenities such as a kitchen or bathroom.</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highlight w:val="yellow"/>
              </w:rPr>
            </w:pPr>
            <w:r w:rsidRPr="00CC70AE">
              <w:rPr>
                <w:b/>
                <w:bCs/>
                <w:color w:val="FFFFFF"/>
                <w:sz w:val="21"/>
                <w:szCs w:val="21"/>
              </w:rPr>
              <w:t>Housing trajectory</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A tool that is used to estimate the number of homes likely to be built in the future, usually shown as a graph.</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lang w:val="en-US"/>
              </w:rPr>
            </w:pPr>
            <w:r w:rsidRPr="00CC70AE">
              <w:rPr>
                <w:sz w:val="21"/>
                <w:szCs w:val="21"/>
                <w:lang w:val="en-US"/>
              </w:rPr>
              <w:t xml:space="preserve">Outlines every Local Plan document that the City Council intends to produce over the next three years along with timetables for their preparation. </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lang w:val="en-US"/>
              </w:rPr>
              <w:t>Local Plan</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lang w:val="en-US"/>
              </w:rPr>
            </w:pPr>
            <w:r w:rsidRPr="00CC70AE">
              <w:rPr>
                <w:sz w:val="21"/>
                <w:szCs w:val="21"/>
                <w:lang w:val="en-US"/>
              </w:rPr>
              <w:t xml:space="preserve">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w:t>
            </w:r>
            <w:r w:rsidRPr="00CC70AE">
              <w:rPr>
                <w:sz w:val="21"/>
                <w:szCs w:val="21"/>
                <w:lang w:val="en-US"/>
              </w:rPr>
              <w:lastRenderedPageBreak/>
              <w:t xml:space="preserve">the 2004 Act. </w:t>
            </w:r>
            <w:r>
              <w:rPr>
                <w:sz w:val="21"/>
                <w:szCs w:val="21"/>
                <w:lang w:val="en-US"/>
              </w:rPr>
              <w:t xml:space="preserve"> </w:t>
            </w:r>
            <w:r w:rsidRPr="00CC70AE">
              <w:rPr>
                <w:sz w:val="21"/>
                <w:szCs w:val="21"/>
                <w:lang w:val="en-US"/>
              </w:rPr>
              <w:t>The documents that make up Oxford’s Local Plan are listed in Appendix A.</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lastRenderedPageBreak/>
              <w:t>National Planning Policy Framework</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The National Planning Policy Framework sets out the government's planning policies for England and how these are expected to be applied.</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Neighbourhood Plan</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Planning Practice Guidance</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A web-based resource that brings together national planning practice guidance for England.</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rPr>
              <w:t>Previously Developed Land (PDL)</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rPr>
              <w:t>Land which is or was occupied by a permanent structure, including the curtilage of the developed land and any associated fixed surface infrastructure. This excludes land in built-up areas such as private residential gardens, parks, recreation grounds and allotments; and land that was previously-developed but where the remains of the permanent structure or fixed surface structure have blended into the landscape in the process of time.</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Sites of Local Importance for Nature Conservation (SLINC)</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lang w:val="en-US"/>
              </w:rPr>
            </w:pPr>
            <w:r w:rsidRPr="00CC70AE">
              <w:rPr>
                <w:sz w:val="21"/>
                <w:szCs w:val="21"/>
                <w:lang w:val="en-US"/>
              </w:rPr>
              <w:t>A site containing important habitats, plans and animals in the context of Oxford.</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Sites of Special Scientific Interest (SSSI)</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lang w:val="en-US"/>
              </w:rPr>
            </w:pPr>
            <w:r w:rsidRPr="00CC70AE">
              <w:rPr>
                <w:sz w:val="21"/>
                <w:szCs w:val="21"/>
                <w:lang w:val="en-US"/>
              </w:rPr>
              <w:t>Areas identified by English Nature as being of special interest for their ecological or geological features.</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Special Areas of Conservation (SACs)</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lang w:val="en-US"/>
              </w:rPr>
            </w:pPr>
            <w:r w:rsidRPr="00CC70AE">
              <w:rPr>
                <w:sz w:val="21"/>
                <w:szCs w:val="21"/>
                <w:lang w:val="en-US"/>
              </w:rPr>
              <w:t>These consist of areas that are vitally important for nature conservation and have been identified as containing the best examples of habitats and species under the European Habitats Directive 1992.</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rPr>
            </w:pPr>
            <w:r w:rsidRPr="00CC70AE">
              <w:rPr>
                <w:b/>
                <w:bCs/>
                <w:color w:val="FFFFFF"/>
                <w:sz w:val="21"/>
                <w:szCs w:val="21"/>
                <w:lang w:val="en-US"/>
              </w:rPr>
              <w:t>Supplementary Planning Documents (SPD)</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rPr>
            </w:pPr>
            <w:r w:rsidRPr="00CC70AE">
              <w:rPr>
                <w:sz w:val="21"/>
                <w:szCs w:val="21"/>
                <w:lang w:val="en-US"/>
              </w:rPr>
              <w:t>A type of planning policy document that supplements and elaborates on policies and proposals in the Local Plan. It does not form part of the Local Plan and is not subject to independent examination</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Sustainability Appraisal</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lang w:val="en-US"/>
              </w:rPr>
            </w:pPr>
            <w:r w:rsidRPr="00CC70AE">
              <w:rPr>
                <w:sz w:val="21"/>
                <w:szCs w:val="21"/>
                <w:lang w:val="en-US"/>
              </w:rPr>
              <w:t>A social, economic and environmental appraisal of strategy, policies and proposals required for Local Plan documents and sometimes Supplementary Planning Documents.</w:t>
            </w:r>
          </w:p>
        </w:tc>
      </w:tr>
      <w:tr w:rsidR="0027137A" w:rsidRPr="001E7C4C" w:rsidTr="00292336">
        <w:tc>
          <w:tcPr>
            <w:tcW w:w="2411" w:type="dxa"/>
            <w:shd w:val="clear" w:color="auto" w:fill="7F7F7F" w:themeFill="text1" w:themeFillTint="80"/>
            <w:tcMar>
              <w:top w:w="57" w:type="dxa"/>
              <w:bottom w:w="0" w:type="dxa"/>
            </w:tcMar>
          </w:tcPr>
          <w:p w:rsidR="0027137A" w:rsidRPr="00CC70AE" w:rsidRDefault="0027137A" w:rsidP="00292336">
            <w:pPr>
              <w:pStyle w:val="Header"/>
              <w:rPr>
                <w:b/>
                <w:bCs/>
                <w:color w:val="FFFFFF"/>
                <w:sz w:val="21"/>
                <w:szCs w:val="21"/>
                <w:lang w:val="en-US"/>
              </w:rPr>
            </w:pPr>
            <w:r w:rsidRPr="00CC70AE">
              <w:rPr>
                <w:b/>
                <w:bCs/>
                <w:color w:val="FFFFFF"/>
                <w:sz w:val="21"/>
                <w:szCs w:val="21"/>
                <w:lang w:val="en-US"/>
              </w:rPr>
              <w:t>Tree Preservation Order</w:t>
            </w:r>
          </w:p>
        </w:tc>
        <w:tc>
          <w:tcPr>
            <w:tcW w:w="7129" w:type="dxa"/>
            <w:shd w:val="clear" w:color="auto" w:fill="F2F2F2" w:themeFill="background1" w:themeFillShade="F2"/>
            <w:tcMar>
              <w:top w:w="85" w:type="dxa"/>
              <w:bottom w:w="0" w:type="dxa"/>
            </w:tcMar>
          </w:tcPr>
          <w:p w:rsidR="0027137A" w:rsidRPr="00CC70AE" w:rsidRDefault="0027137A" w:rsidP="00292336">
            <w:pPr>
              <w:pStyle w:val="Header"/>
              <w:rPr>
                <w:sz w:val="21"/>
                <w:szCs w:val="21"/>
                <w:highlight w:val="yellow"/>
                <w:lang w:val="en-US"/>
              </w:rPr>
            </w:pPr>
            <w:r w:rsidRPr="00CC70AE">
              <w:rPr>
                <w:sz w:val="21"/>
                <w:szCs w:val="21"/>
                <w:lang w:val="en-US"/>
              </w:rPr>
              <w:t>A legal order made by the local planning authority, that prohibits the cutting down, uprooting, topping, lopping, willful damage or willful destruction of a tree or group of trees without the express permission of that authority.</w:t>
            </w:r>
          </w:p>
        </w:tc>
      </w:tr>
    </w:tbl>
    <w:p w:rsidR="0027137A" w:rsidRDefault="0027137A" w:rsidP="0027137A">
      <w:pPr>
        <w:pStyle w:val="Heading1"/>
      </w:pPr>
    </w:p>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Pr>
        <w:pStyle w:val="Heading1"/>
      </w:pPr>
      <w:bookmarkStart w:id="51" w:name="_Toc529178380"/>
      <w:r w:rsidRPr="00DC4A1B">
        <w:lastRenderedPageBreak/>
        <w:t>Append</w:t>
      </w:r>
      <w:r>
        <w:t>ix A: Oxford’s planning policy documents</w:t>
      </w:r>
      <w:bookmarkEnd w:id="51"/>
    </w:p>
    <w:p w:rsidR="0027137A" w:rsidRPr="00583396" w:rsidRDefault="0027137A" w:rsidP="0027137A">
      <w:pPr>
        <w:pStyle w:val="Heading1"/>
        <w:rPr>
          <w:sz w:val="1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2"/>
        <w:gridCol w:w="2330"/>
      </w:tblGrid>
      <w:tr w:rsidR="0027137A" w:rsidTr="00292336">
        <w:tc>
          <w:tcPr>
            <w:tcW w:w="6912" w:type="dxa"/>
          </w:tcPr>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Document</w:t>
            </w:r>
          </w:p>
        </w:tc>
        <w:tc>
          <w:tcPr>
            <w:tcW w:w="2330" w:type="dxa"/>
          </w:tcPr>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Date of Adoption</w:t>
            </w:r>
          </w:p>
        </w:tc>
      </w:tr>
      <w:tr w:rsidR="0027137A" w:rsidTr="00292336">
        <w:tc>
          <w:tcPr>
            <w:tcW w:w="9242" w:type="dxa"/>
            <w:gridSpan w:val="2"/>
            <w:shd w:val="clear" w:color="auto" w:fill="D9D9D9" w:themeFill="background1" w:themeFillShade="D9"/>
          </w:tcPr>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The Local Plan</w:t>
            </w:r>
          </w:p>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sz w:val="21"/>
                <w:szCs w:val="21"/>
              </w:rPr>
              <w:t>This includes a number of policy documents that have been prepared and adopted separately.</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Core Strategy 2026</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2011</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Sites and Housing Plan 2011-2026</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2013</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Oxford Local Plan 2001-2016 (Saved Policies)</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Northern Gateway Area Action Plan</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Barton Area Action Plan</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2012</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West End Area Action Plan</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June 2008</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Policies Map</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2013</w:t>
            </w:r>
          </w:p>
        </w:tc>
      </w:tr>
      <w:tr w:rsidR="0027137A" w:rsidTr="00292336">
        <w:tc>
          <w:tcPr>
            <w:tcW w:w="9242" w:type="dxa"/>
            <w:gridSpan w:val="2"/>
            <w:shd w:val="clear" w:color="auto" w:fill="D9D9D9" w:themeFill="background1" w:themeFillShade="D9"/>
          </w:tcPr>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Supplementary Planning Documents (SPDs)</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Affordable Housing and Planning Obligations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2013</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Balance of Dwellings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2008</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Diamond Place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Jericho </w:t>
            </w:r>
            <w:proofErr w:type="spellStart"/>
            <w:r w:rsidRPr="00B55732">
              <w:rPr>
                <w:rFonts w:asciiTheme="minorHAnsi" w:hAnsiTheme="minorHAnsi" w:cstheme="minorHAnsi"/>
                <w:sz w:val="21"/>
                <w:szCs w:val="21"/>
              </w:rPr>
              <w:t>Canalside</w:t>
            </w:r>
            <w:proofErr w:type="spellEnd"/>
            <w:r w:rsidRPr="00B55732">
              <w:rPr>
                <w:rFonts w:asciiTheme="minorHAnsi" w:hAnsiTheme="minorHAnsi" w:cstheme="minorHAnsi"/>
                <w:sz w:val="21"/>
                <w:szCs w:val="21"/>
              </w:rPr>
              <w:t xml:space="preserve">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2013</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Natural Resource Impact Analysis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Pr>
                <w:rFonts w:asciiTheme="minorHAnsi" w:hAnsiTheme="minorHAnsi" w:cstheme="minorHAnsi"/>
                <w:sz w:val="21"/>
                <w:szCs w:val="21"/>
              </w:rPr>
              <w:t>Oxford Station SPD</w:t>
            </w:r>
          </w:p>
        </w:tc>
        <w:tc>
          <w:tcPr>
            <w:tcW w:w="2330" w:type="dxa"/>
          </w:tcPr>
          <w:p w:rsidR="0027137A" w:rsidRPr="00B55732" w:rsidRDefault="00ED615C" w:rsidP="00292336">
            <w:pPr>
              <w:spacing w:before="60" w:after="60"/>
              <w:rPr>
                <w:rFonts w:asciiTheme="minorHAnsi" w:hAnsiTheme="minorHAnsi" w:cstheme="minorHAnsi"/>
                <w:sz w:val="21"/>
                <w:szCs w:val="21"/>
              </w:rPr>
            </w:pPr>
            <w:r>
              <w:rPr>
                <w:rFonts w:asciiTheme="minorHAnsi" w:hAnsiTheme="minorHAnsi" w:cstheme="minorHAnsi"/>
                <w:sz w:val="21"/>
                <w:szCs w:val="21"/>
              </w:rPr>
              <w:t>November 2017</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proofErr w:type="spellStart"/>
            <w:r w:rsidRPr="00B55732">
              <w:rPr>
                <w:rFonts w:asciiTheme="minorHAnsi" w:hAnsiTheme="minorHAnsi" w:cstheme="minorHAnsi"/>
                <w:sz w:val="21"/>
                <w:szCs w:val="21"/>
              </w:rPr>
              <w:t>Oxpens</w:t>
            </w:r>
            <w:proofErr w:type="spellEnd"/>
            <w:r w:rsidRPr="00B55732">
              <w:rPr>
                <w:rFonts w:asciiTheme="minorHAnsi" w:hAnsiTheme="minorHAnsi" w:cstheme="minorHAnsi"/>
                <w:sz w:val="21"/>
                <w:szCs w:val="21"/>
              </w:rPr>
              <w:t xml:space="preserve"> Master Plan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Parking Standards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2007</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Telecommunications SPD</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2007</w:t>
            </w:r>
          </w:p>
        </w:tc>
      </w:tr>
      <w:tr w:rsidR="0027137A" w:rsidTr="00292336">
        <w:tc>
          <w:tcPr>
            <w:tcW w:w="9242" w:type="dxa"/>
            <w:gridSpan w:val="2"/>
            <w:shd w:val="clear" w:color="auto" w:fill="D9D9D9" w:themeFill="background1" w:themeFillShade="D9"/>
          </w:tcPr>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Technical Advice Notes (TANs)</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1A: Space Standards for Residential Development</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May 2016</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2: Energy Statement TAN</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3: Waste Storage TAN</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4: Community Pubs TAN</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TAN 5: External Wall Insulation </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2016</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6: Residential Basement Development</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June 2016</w:t>
            </w:r>
          </w:p>
        </w:tc>
      </w:tr>
      <w:tr w:rsidR="0027137A" w:rsidTr="00292336">
        <w:tc>
          <w:tcPr>
            <w:tcW w:w="9242" w:type="dxa"/>
            <w:gridSpan w:val="2"/>
            <w:shd w:val="clear" w:color="auto" w:fill="D9D9D9" w:themeFill="background1" w:themeFillShade="D9"/>
          </w:tcPr>
          <w:p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Other planning policy documents</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Annual Monitoring Report</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Produced annually</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Community Infrastructure Levy Charging Schedule </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October 2013</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Local Development Scheme</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2016</w:t>
            </w:r>
          </w:p>
        </w:tc>
      </w:tr>
      <w:tr w:rsidR="0027137A" w:rsidTr="00292336">
        <w:tc>
          <w:tcPr>
            <w:tcW w:w="6912"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Statement of Community Involvement </w:t>
            </w:r>
          </w:p>
        </w:tc>
        <w:tc>
          <w:tcPr>
            <w:tcW w:w="2330" w:type="dxa"/>
          </w:tcPr>
          <w:p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bl>
    <w:p w:rsidR="0027137A" w:rsidRDefault="0027137A" w:rsidP="0027137A">
      <w:pPr>
        <w:pStyle w:val="Heading1"/>
        <w:rPr>
          <w:sz w:val="2"/>
          <w:szCs w:val="2"/>
        </w:rPr>
      </w:pPr>
    </w:p>
    <w:p w:rsidR="0027137A" w:rsidRDefault="0027137A" w:rsidP="0027137A"/>
    <w:p w:rsidR="0027137A" w:rsidRDefault="0027137A" w:rsidP="0027137A"/>
    <w:p w:rsidR="0027137A" w:rsidRPr="00E77362" w:rsidRDefault="0027137A" w:rsidP="0027137A"/>
    <w:p w:rsidR="0027137A" w:rsidRDefault="0027137A" w:rsidP="0027137A">
      <w:pPr>
        <w:pStyle w:val="Heading1"/>
      </w:pPr>
      <w:bookmarkStart w:id="52" w:name="_Toc529178381"/>
      <w:r w:rsidRPr="00DC4A1B">
        <w:lastRenderedPageBreak/>
        <w:t>Append</w:t>
      </w:r>
      <w:r>
        <w:t>ix B: How the AMR complies with statutory requirements</w:t>
      </w:r>
      <w:bookmarkEnd w:id="52"/>
    </w:p>
    <w:p w:rsidR="0027137A" w:rsidRDefault="0027137A" w:rsidP="0027137A"/>
    <w:tbl>
      <w:tblPr>
        <w:tblStyle w:val="TableGrid"/>
        <w:tblW w:w="0" w:type="auto"/>
        <w:tblLook w:val="04A0" w:firstRow="1" w:lastRow="0" w:firstColumn="1" w:lastColumn="0" w:noHBand="0" w:noVBand="1"/>
      </w:tblPr>
      <w:tblGrid>
        <w:gridCol w:w="5353"/>
        <w:gridCol w:w="3889"/>
      </w:tblGrid>
      <w:tr w:rsidR="0027137A" w:rsidTr="00292336">
        <w:tc>
          <w:tcPr>
            <w:tcW w:w="5353" w:type="dxa"/>
            <w:shd w:val="clear" w:color="auto" w:fill="D9D9D9" w:themeFill="background1" w:themeFillShade="D9"/>
          </w:tcPr>
          <w:p w:rsidR="0027137A" w:rsidRPr="002F73DC" w:rsidRDefault="0027137A" w:rsidP="00292336">
            <w:pPr>
              <w:rPr>
                <w:b/>
                <w:sz w:val="20"/>
                <w:szCs w:val="20"/>
              </w:rPr>
            </w:pPr>
            <w:r w:rsidRPr="002F73DC">
              <w:rPr>
                <w:b/>
                <w:sz w:val="20"/>
                <w:szCs w:val="20"/>
              </w:rPr>
              <w:t>Statutory  Requirement</w:t>
            </w:r>
          </w:p>
        </w:tc>
        <w:tc>
          <w:tcPr>
            <w:tcW w:w="3889" w:type="dxa"/>
            <w:shd w:val="clear" w:color="auto" w:fill="D9D9D9" w:themeFill="background1" w:themeFillShade="D9"/>
          </w:tcPr>
          <w:p w:rsidR="0027137A" w:rsidRPr="002F73DC" w:rsidRDefault="0027137A" w:rsidP="00292336">
            <w:pPr>
              <w:rPr>
                <w:b/>
                <w:sz w:val="20"/>
                <w:szCs w:val="20"/>
              </w:rPr>
            </w:pPr>
            <w:r w:rsidRPr="002F73DC">
              <w:rPr>
                <w:b/>
                <w:sz w:val="20"/>
                <w:szCs w:val="20"/>
              </w:rPr>
              <w:t>How the AMR meets this requirement</w:t>
            </w:r>
          </w:p>
        </w:tc>
      </w:tr>
      <w:tr w:rsidR="0027137A" w:rsidTr="00292336">
        <w:tc>
          <w:tcPr>
            <w:tcW w:w="5353" w:type="dxa"/>
            <w:shd w:val="clear" w:color="auto" w:fill="auto"/>
          </w:tcPr>
          <w:p w:rsidR="0027137A" w:rsidRPr="002F73DC" w:rsidRDefault="0027137A" w:rsidP="00292336">
            <w:pPr>
              <w:rPr>
                <w:sz w:val="4"/>
                <w:szCs w:val="4"/>
              </w:rPr>
            </w:pPr>
          </w:p>
          <w:p w:rsidR="0027137A" w:rsidRPr="002F73DC" w:rsidRDefault="0027137A" w:rsidP="00292336">
            <w:pPr>
              <w:rPr>
                <w:sz w:val="20"/>
                <w:szCs w:val="20"/>
              </w:rPr>
            </w:pPr>
            <w:r w:rsidRPr="002F73DC">
              <w:rPr>
                <w:b/>
                <w:sz w:val="20"/>
                <w:szCs w:val="20"/>
              </w:rPr>
              <w:t>Section 35 of the Planning and Compulsory Purchase Act 2004 as amended by Section 113 of the Localism Act 2011</w:t>
            </w:r>
            <w:r w:rsidRPr="002F73DC">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must be available to the public.</w:t>
            </w:r>
          </w:p>
          <w:p w:rsidR="0027137A" w:rsidRPr="002F73DC" w:rsidRDefault="0027137A" w:rsidP="00292336">
            <w:pPr>
              <w:rPr>
                <w:b/>
                <w:sz w:val="20"/>
                <w:szCs w:val="20"/>
              </w:rPr>
            </w:pPr>
          </w:p>
        </w:tc>
        <w:tc>
          <w:tcPr>
            <w:tcW w:w="3889" w:type="dxa"/>
            <w:shd w:val="clear" w:color="auto" w:fill="auto"/>
          </w:tcPr>
          <w:p w:rsidR="0027137A" w:rsidRPr="002F73DC" w:rsidRDefault="0027137A" w:rsidP="00292336">
            <w:pPr>
              <w:rPr>
                <w:b/>
                <w:sz w:val="4"/>
                <w:szCs w:val="4"/>
              </w:rPr>
            </w:pPr>
          </w:p>
          <w:p w:rsidR="0027137A" w:rsidRPr="002F73DC" w:rsidRDefault="0027137A" w:rsidP="00292336">
            <w:pPr>
              <w:rPr>
                <w:sz w:val="20"/>
                <w:szCs w:val="20"/>
              </w:rPr>
            </w:pPr>
            <w:r w:rsidRPr="002F73DC">
              <w:rPr>
                <w:sz w:val="20"/>
                <w:szCs w:val="20"/>
              </w:rPr>
              <w:t xml:space="preserve">The AMR contains information on the implementation of the Local Development Scheme (see Local Development Scheme Monitoring). It also contains information on the implementation of policies in Oxford’s Local Plan as set out in Appendix C. The AMR is made publically available on the City Council’s website and at our main offices (St </w:t>
            </w:r>
            <w:proofErr w:type="spellStart"/>
            <w:r w:rsidRPr="002F73DC">
              <w:rPr>
                <w:sz w:val="20"/>
                <w:szCs w:val="20"/>
              </w:rPr>
              <w:t>Aldate’s</w:t>
            </w:r>
            <w:proofErr w:type="spellEnd"/>
            <w:r w:rsidRPr="002F73DC">
              <w:rPr>
                <w:sz w:val="20"/>
                <w:szCs w:val="20"/>
              </w:rPr>
              <w:t xml:space="preserve"> Chambers).</w:t>
            </w:r>
          </w:p>
          <w:p w:rsidR="0027137A" w:rsidRPr="002F73DC" w:rsidRDefault="0027137A" w:rsidP="00292336">
            <w:pPr>
              <w:rPr>
                <w:sz w:val="4"/>
                <w:szCs w:val="4"/>
              </w:rPr>
            </w:pPr>
          </w:p>
        </w:tc>
      </w:tr>
      <w:tr w:rsidR="0027137A" w:rsidTr="00292336">
        <w:tc>
          <w:tcPr>
            <w:tcW w:w="5353" w:type="dxa"/>
          </w:tcPr>
          <w:p w:rsidR="0027137A" w:rsidRPr="002F73DC" w:rsidRDefault="0027137A" w:rsidP="00292336">
            <w:pPr>
              <w:rPr>
                <w:b/>
                <w:sz w:val="4"/>
                <w:szCs w:val="4"/>
              </w:rPr>
            </w:pPr>
          </w:p>
          <w:p w:rsidR="0027137A" w:rsidRPr="002F73DC" w:rsidRDefault="0027137A" w:rsidP="00292336">
            <w:pPr>
              <w:rPr>
                <w:b/>
                <w:sz w:val="20"/>
                <w:szCs w:val="20"/>
              </w:rPr>
            </w:pPr>
            <w:r w:rsidRPr="002F73DC">
              <w:rPr>
                <w:b/>
                <w:sz w:val="20"/>
                <w:szCs w:val="20"/>
              </w:rPr>
              <w:t>Section 34 of The Town and Country Planning (Local Planning) (England) Regulations 2012</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(1) A local planning authority’s monitoring report must contain the following information—</w:t>
            </w:r>
          </w:p>
          <w:p w:rsidR="0027137A" w:rsidRPr="002F73DC" w:rsidRDefault="0027137A" w:rsidP="00292336">
            <w:pPr>
              <w:rPr>
                <w:sz w:val="20"/>
                <w:szCs w:val="20"/>
              </w:rPr>
            </w:pPr>
            <w:r w:rsidRPr="002F73DC">
              <w:rPr>
                <w:sz w:val="20"/>
                <w:szCs w:val="20"/>
              </w:rPr>
              <w:t>(a) the title of the local plans or supplementary planning documents specified in the local planning authority’s local development scheme;</w:t>
            </w:r>
          </w:p>
          <w:p w:rsidR="0027137A" w:rsidRPr="002F73DC" w:rsidRDefault="0027137A" w:rsidP="00292336">
            <w:pPr>
              <w:rPr>
                <w:sz w:val="20"/>
                <w:szCs w:val="20"/>
              </w:rPr>
            </w:pPr>
            <w:r w:rsidRPr="002F73DC">
              <w:rPr>
                <w:sz w:val="20"/>
                <w:szCs w:val="20"/>
              </w:rPr>
              <w:t>(b) in relation to each of those documents—</w:t>
            </w:r>
          </w:p>
          <w:p w:rsidR="0027137A" w:rsidRPr="002F73DC" w:rsidRDefault="0027137A" w:rsidP="00292336">
            <w:pPr>
              <w:rPr>
                <w:sz w:val="20"/>
                <w:szCs w:val="20"/>
              </w:rPr>
            </w:pPr>
            <w:r w:rsidRPr="002F73DC">
              <w:rPr>
                <w:sz w:val="20"/>
                <w:szCs w:val="20"/>
              </w:rPr>
              <w:t>(</w:t>
            </w:r>
            <w:proofErr w:type="spellStart"/>
            <w:r w:rsidRPr="002F73DC">
              <w:rPr>
                <w:sz w:val="20"/>
                <w:szCs w:val="20"/>
              </w:rPr>
              <w:t>i</w:t>
            </w:r>
            <w:proofErr w:type="spellEnd"/>
            <w:r w:rsidRPr="002F73DC">
              <w:rPr>
                <w:sz w:val="20"/>
                <w:szCs w:val="20"/>
              </w:rPr>
              <w:t>) the timetable specified in the local planning authority’s local development scheme for the document’s preparation;</w:t>
            </w:r>
          </w:p>
          <w:p w:rsidR="0027137A" w:rsidRPr="002F73DC" w:rsidRDefault="0027137A" w:rsidP="00292336">
            <w:pPr>
              <w:rPr>
                <w:sz w:val="20"/>
                <w:szCs w:val="20"/>
              </w:rPr>
            </w:pPr>
            <w:r w:rsidRPr="002F73DC">
              <w:rPr>
                <w:sz w:val="20"/>
                <w:szCs w:val="20"/>
              </w:rPr>
              <w:t>(ii) the stage the document has reached in its preparation; and</w:t>
            </w:r>
          </w:p>
          <w:p w:rsidR="0027137A" w:rsidRPr="002F73DC" w:rsidRDefault="0027137A" w:rsidP="00292336">
            <w:pPr>
              <w:rPr>
                <w:sz w:val="20"/>
                <w:szCs w:val="20"/>
              </w:rPr>
            </w:pPr>
            <w:r w:rsidRPr="002F73DC">
              <w:rPr>
                <w:sz w:val="20"/>
                <w:szCs w:val="20"/>
              </w:rPr>
              <w:t>(iii) if the document’s preparation is behind the timetable mentioned in paragraph (</w:t>
            </w:r>
            <w:proofErr w:type="spellStart"/>
            <w:r w:rsidRPr="002F73DC">
              <w:rPr>
                <w:sz w:val="20"/>
                <w:szCs w:val="20"/>
              </w:rPr>
              <w:t>i</w:t>
            </w:r>
            <w:proofErr w:type="spellEnd"/>
            <w:r w:rsidRPr="002F73DC">
              <w:rPr>
                <w:sz w:val="20"/>
                <w:szCs w:val="20"/>
              </w:rPr>
              <w:t>) the reasons for this; and</w:t>
            </w:r>
          </w:p>
          <w:p w:rsidR="0027137A" w:rsidRPr="002F73DC" w:rsidRDefault="0027137A" w:rsidP="00292336">
            <w:pPr>
              <w:rPr>
                <w:sz w:val="20"/>
                <w:szCs w:val="20"/>
              </w:rPr>
            </w:pPr>
            <w:r w:rsidRPr="002F73DC">
              <w:rPr>
                <w:sz w:val="20"/>
                <w:szCs w:val="20"/>
              </w:rPr>
              <w:t xml:space="preserve">(c) </w:t>
            </w:r>
            <w:proofErr w:type="gramStart"/>
            <w:r w:rsidRPr="002F73DC">
              <w:rPr>
                <w:sz w:val="20"/>
                <w:szCs w:val="20"/>
              </w:rPr>
              <w:t>where</w:t>
            </w:r>
            <w:proofErr w:type="gramEnd"/>
            <w:r w:rsidRPr="002F73DC">
              <w:rPr>
                <w:sz w:val="20"/>
                <w:szCs w:val="20"/>
              </w:rPr>
              <w:t xml:space="preserve"> any local plan or supplementary planning document specified in the local planning authority’s local development scheme has been adopted or approved within the period in respect of which the report is made, a statement of that fact and of the date of adoption or approval.</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(2) Where a local planning authority are not implementing a policy specified in a local plan, the local planning authority’s monitoring report must—</w:t>
            </w:r>
          </w:p>
          <w:p w:rsidR="0027137A" w:rsidRPr="002F73DC" w:rsidRDefault="0027137A" w:rsidP="00292336">
            <w:pPr>
              <w:rPr>
                <w:sz w:val="20"/>
                <w:szCs w:val="20"/>
              </w:rPr>
            </w:pPr>
            <w:r w:rsidRPr="002F73DC">
              <w:rPr>
                <w:sz w:val="20"/>
                <w:szCs w:val="20"/>
              </w:rPr>
              <w:t>(a) identify that policy; and</w:t>
            </w:r>
          </w:p>
          <w:p w:rsidR="0027137A" w:rsidRPr="002F73DC" w:rsidRDefault="0027137A" w:rsidP="00292336">
            <w:pPr>
              <w:rPr>
                <w:sz w:val="20"/>
                <w:szCs w:val="20"/>
              </w:rPr>
            </w:pPr>
            <w:r w:rsidRPr="002F73DC">
              <w:rPr>
                <w:sz w:val="20"/>
                <w:szCs w:val="20"/>
              </w:rPr>
              <w:t>(b) include a statement of—</w:t>
            </w:r>
          </w:p>
          <w:p w:rsidR="0027137A" w:rsidRPr="002F73DC" w:rsidRDefault="0027137A" w:rsidP="00292336">
            <w:pPr>
              <w:rPr>
                <w:sz w:val="20"/>
                <w:szCs w:val="20"/>
              </w:rPr>
            </w:pPr>
            <w:r w:rsidRPr="002F73DC">
              <w:rPr>
                <w:sz w:val="20"/>
                <w:szCs w:val="20"/>
              </w:rPr>
              <w:t>(</w:t>
            </w:r>
            <w:proofErr w:type="spellStart"/>
            <w:r w:rsidRPr="002F73DC">
              <w:rPr>
                <w:sz w:val="20"/>
                <w:szCs w:val="20"/>
              </w:rPr>
              <w:t>i</w:t>
            </w:r>
            <w:proofErr w:type="spellEnd"/>
            <w:r w:rsidRPr="002F73DC">
              <w:rPr>
                <w:sz w:val="20"/>
                <w:szCs w:val="20"/>
              </w:rPr>
              <w:t>) the reasons why the local planning authority are not implementing the policy; and</w:t>
            </w:r>
          </w:p>
          <w:p w:rsidR="0027137A" w:rsidRPr="002F73DC" w:rsidRDefault="0027137A" w:rsidP="00292336">
            <w:pPr>
              <w:rPr>
                <w:sz w:val="20"/>
                <w:szCs w:val="20"/>
              </w:rPr>
            </w:pPr>
            <w:r w:rsidRPr="002F73DC">
              <w:rPr>
                <w:sz w:val="20"/>
                <w:szCs w:val="20"/>
              </w:rPr>
              <w:t xml:space="preserve">(ii) </w:t>
            </w:r>
            <w:proofErr w:type="gramStart"/>
            <w:r w:rsidRPr="002F73DC">
              <w:rPr>
                <w:sz w:val="20"/>
                <w:szCs w:val="20"/>
              </w:rPr>
              <w:t>the</w:t>
            </w:r>
            <w:proofErr w:type="gramEnd"/>
            <w:r w:rsidRPr="002F73DC">
              <w:rPr>
                <w:sz w:val="20"/>
                <w:szCs w:val="20"/>
              </w:rPr>
              <w:t xml:space="preserve"> steps (if any) that the local planning authority intend to take to secure that the policy is implemented.</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(3) Where a policy specified in a local plan specifies an annual number, or a number relating to any other period of net additional dwellings or net additional affordable dwellings in any part of the local planning authority’s area, the local planning authority’s monitoring report must specify the relevant number for the part of the local planning authority’s area concerned—</w:t>
            </w:r>
          </w:p>
          <w:p w:rsidR="0027137A" w:rsidRPr="002F73DC" w:rsidRDefault="0027137A" w:rsidP="00292336">
            <w:pPr>
              <w:rPr>
                <w:sz w:val="20"/>
                <w:szCs w:val="20"/>
              </w:rPr>
            </w:pPr>
            <w:r w:rsidRPr="002F73DC">
              <w:rPr>
                <w:sz w:val="20"/>
                <w:szCs w:val="20"/>
              </w:rPr>
              <w:t>(a) in the period in respect of which the report is made, and</w:t>
            </w:r>
          </w:p>
          <w:p w:rsidR="0027137A" w:rsidRPr="002F73DC" w:rsidRDefault="0027137A" w:rsidP="00292336">
            <w:pPr>
              <w:rPr>
                <w:sz w:val="20"/>
                <w:szCs w:val="20"/>
              </w:rPr>
            </w:pPr>
            <w:r w:rsidRPr="002F73DC">
              <w:rPr>
                <w:sz w:val="20"/>
                <w:szCs w:val="20"/>
              </w:rPr>
              <w:t xml:space="preserve">(b) </w:t>
            </w:r>
            <w:proofErr w:type="gramStart"/>
            <w:r w:rsidRPr="002F73DC">
              <w:rPr>
                <w:sz w:val="20"/>
                <w:szCs w:val="20"/>
              </w:rPr>
              <w:t>since</w:t>
            </w:r>
            <w:proofErr w:type="gramEnd"/>
            <w:r w:rsidRPr="002F73DC">
              <w:rPr>
                <w:sz w:val="20"/>
                <w:szCs w:val="20"/>
              </w:rPr>
              <w:t xml:space="preserve"> the policy was first published, adopted or approved.</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 xml:space="preserve">(4) Where a local planning authority have made a neighbourhood development order or a neighbourhood development plan, the local planning authority’s monitoring </w:t>
            </w:r>
            <w:r w:rsidRPr="002F73DC">
              <w:rPr>
                <w:sz w:val="20"/>
                <w:szCs w:val="20"/>
              </w:rPr>
              <w:lastRenderedPageBreak/>
              <w:t>report must contain details of these documents.</w:t>
            </w:r>
          </w:p>
          <w:p w:rsidR="0027137A" w:rsidRPr="002F73DC" w:rsidRDefault="0027137A" w:rsidP="00292336">
            <w:pPr>
              <w:rPr>
                <w:sz w:val="4"/>
                <w:szCs w:val="4"/>
              </w:rPr>
            </w:pPr>
          </w:p>
          <w:p w:rsidR="0027137A" w:rsidRPr="002F73DC" w:rsidRDefault="0027137A" w:rsidP="00292336">
            <w:pPr>
              <w:rPr>
                <w:sz w:val="20"/>
                <w:szCs w:val="20"/>
              </w:rPr>
            </w:pPr>
            <w:r w:rsidRPr="002F73DC">
              <w:rPr>
                <w:sz w:val="20"/>
                <w:szCs w:val="20"/>
              </w:rPr>
              <w:t>(5) Where a local planning authority have prepared a report pursuant to regulation 62 of the Community Infrastructure Levy Regulations 2010(2), the local planning authority’s monitoring report must contain the information specified in regulat</w:t>
            </w:r>
            <w:r>
              <w:rPr>
                <w:sz w:val="20"/>
                <w:szCs w:val="20"/>
              </w:rPr>
              <w:t>ion 62(4) of those Regulations.</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(6) Where a local planning authority have co-operated with another local planning authority, county council, or a body or person prescribed under section 33A of the Act, the local planning authority’s monitoring report must give details of what action they have taken during the period covered by the report.</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(7) A local planning authority must make any up-to-date information, which they have collected for monitoring purposes, available in accordance with regulation 35 as soon as possible after the information becomes available.</w:t>
            </w:r>
          </w:p>
          <w:p w:rsidR="0027137A" w:rsidRPr="002F73DC" w:rsidRDefault="0027137A" w:rsidP="00292336">
            <w:pPr>
              <w:rPr>
                <w:sz w:val="20"/>
                <w:szCs w:val="20"/>
              </w:rPr>
            </w:pPr>
          </w:p>
          <w:p w:rsidR="0027137A" w:rsidRPr="002F73DC" w:rsidRDefault="0027137A" w:rsidP="00292336">
            <w:pPr>
              <w:rPr>
                <w:b/>
                <w:sz w:val="20"/>
                <w:szCs w:val="20"/>
              </w:rPr>
            </w:pPr>
            <w:r w:rsidRPr="002F73DC">
              <w:rPr>
                <w:b/>
                <w:sz w:val="20"/>
                <w:szCs w:val="20"/>
              </w:rPr>
              <w:t>Section 35 of The Town and Country Planning (Local Planning) (England) Regulations 2012</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(1) A document is to be taken to be made available by a local planning authority when—</w:t>
            </w:r>
          </w:p>
          <w:p w:rsidR="0027137A" w:rsidRPr="002F73DC" w:rsidRDefault="0027137A" w:rsidP="00292336">
            <w:pPr>
              <w:rPr>
                <w:sz w:val="20"/>
                <w:szCs w:val="20"/>
              </w:rPr>
            </w:pPr>
            <w:r w:rsidRPr="002F73DC">
              <w:rPr>
                <w:sz w:val="20"/>
                <w:szCs w:val="20"/>
              </w:rPr>
              <w:t>(a) made available for inspection, at their principal office and at such other places within their area as the local planning authority consider appropriate, during normal office hours, and .</w:t>
            </w:r>
          </w:p>
          <w:p w:rsidR="0027137A" w:rsidRPr="002F73DC" w:rsidRDefault="0027137A" w:rsidP="00292336">
            <w:pPr>
              <w:rPr>
                <w:sz w:val="20"/>
                <w:szCs w:val="20"/>
              </w:rPr>
            </w:pPr>
            <w:r w:rsidRPr="002F73DC">
              <w:rPr>
                <w:sz w:val="20"/>
                <w:szCs w:val="20"/>
              </w:rPr>
              <w:t>(b) published on the local planning authority’s website,</w:t>
            </w:r>
          </w:p>
          <w:p w:rsidR="0027137A" w:rsidRPr="002F73DC" w:rsidRDefault="0027137A" w:rsidP="00292336">
            <w:pPr>
              <w:rPr>
                <w:sz w:val="20"/>
                <w:szCs w:val="20"/>
              </w:rPr>
            </w:pPr>
          </w:p>
        </w:tc>
        <w:tc>
          <w:tcPr>
            <w:tcW w:w="3889" w:type="dxa"/>
          </w:tcPr>
          <w:p w:rsidR="0027137A" w:rsidRPr="002F73DC" w:rsidRDefault="0027137A" w:rsidP="00292336">
            <w:pPr>
              <w:rPr>
                <w:sz w:val="4"/>
                <w:szCs w:val="4"/>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Local Development Scheme Monitoring</w:t>
            </w:r>
          </w:p>
          <w:p w:rsidR="0027137A" w:rsidRPr="002F73DC" w:rsidRDefault="0027137A" w:rsidP="00292336">
            <w:pPr>
              <w:rPr>
                <w:sz w:val="20"/>
                <w:szCs w:val="20"/>
              </w:rPr>
            </w:pPr>
            <w:proofErr w:type="gramStart"/>
            <w:r>
              <w:rPr>
                <w:sz w:val="20"/>
                <w:szCs w:val="20"/>
              </w:rPr>
              <w:t>section</w:t>
            </w:r>
            <w:proofErr w:type="gramEnd"/>
            <w:r>
              <w:rPr>
                <w:sz w:val="20"/>
                <w:szCs w:val="20"/>
              </w:rPr>
              <w:t xml:space="preserve"> of</w:t>
            </w:r>
            <w:r w:rsidRPr="002F73DC">
              <w:rPr>
                <w:sz w:val="20"/>
                <w:szCs w:val="20"/>
              </w:rPr>
              <w:t xml:space="preserve"> the A</w:t>
            </w:r>
            <w:r>
              <w:rPr>
                <w:sz w:val="20"/>
                <w:szCs w:val="20"/>
              </w:rPr>
              <w:t>MR</w:t>
            </w:r>
            <w:r w:rsidRPr="002F73DC">
              <w:rPr>
                <w:sz w:val="20"/>
                <w:szCs w:val="20"/>
              </w:rPr>
              <w:t>.</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N/A - All policies are being applied.</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Pr>
                <w:sz w:val="20"/>
                <w:szCs w:val="20"/>
              </w:rPr>
              <w:t xml:space="preserve">AMR </w:t>
            </w:r>
            <w:r w:rsidRPr="002F73DC">
              <w:rPr>
                <w:sz w:val="20"/>
                <w:szCs w:val="20"/>
              </w:rPr>
              <w:t xml:space="preserve">Indicator </w:t>
            </w:r>
            <w:r>
              <w:rPr>
                <w:sz w:val="20"/>
                <w:szCs w:val="20"/>
              </w:rPr>
              <w:t>8</w:t>
            </w:r>
            <w:r w:rsidRPr="002F73DC">
              <w:rPr>
                <w:sz w:val="20"/>
                <w:szCs w:val="20"/>
              </w:rPr>
              <w:t>: Housing trajectory</w:t>
            </w:r>
          </w:p>
          <w:p w:rsidR="0027137A" w:rsidRPr="002F73DC" w:rsidRDefault="0027137A" w:rsidP="00292336">
            <w:pPr>
              <w:rPr>
                <w:sz w:val="20"/>
                <w:szCs w:val="20"/>
              </w:rPr>
            </w:pPr>
            <w:r>
              <w:rPr>
                <w:sz w:val="20"/>
                <w:szCs w:val="20"/>
              </w:rPr>
              <w:t xml:space="preserve">AMR </w:t>
            </w:r>
            <w:r w:rsidRPr="002F73DC">
              <w:rPr>
                <w:sz w:val="20"/>
                <w:szCs w:val="20"/>
              </w:rPr>
              <w:t xml:space="preserve">Indicator </w:t>
            </w:r>
            <w:r>
              <w:rPr>
                <w:sz w:val="20"/>
                <w:szCs w:val="20"/>
              </w:rPr>
              <w:t>9</w:t>
            </w:r>
            <w:r w:rsidRPr="002F73DC">
              <w:rPr>
                <w:sz w:val="20"/>
                <w:szCs w:val="20"/>
              </w:rPr>
              <w:t>: Affordable housing completions (gross) and tenure</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r w:rsidRPr="002F73DC">
              <w:rPr>
                <w:sz w:val="20"/>
                <w:szCs w:val="20"/>
              </w:rPr>
              <w:t>To date, no neighbourhood development orders or neighbourhood development plans have been made.</w:t>
            </w:r>
          </w:p>
          <w:p w:rsidR="0027137A" w:rsidRPr="002F73DC" w:rsidRDefault="0027137A" w:rsidP="00292336">
            <w:pPr>
              <w:rPr>
                <w:sz w:val="20"/>
                <w:szCs w:val="20"/>
              </w:rPr>
            </w:pPr>
          </w:p>
          <w:p w:rsidR="0027137A" w:rsidRPr="002F73DC" w:rsidRDefault="0027137A" w:rsidP="00292336">
            <w:pPr>
              <w:rPr>
                <w:sz w:val="4"/>
                <w:szCs w:val="4"/>
              </w:rPr>
            </w:pPr>
          </w:p>
          <w:p w:rsidR="0027137A" w:rsidRPr="002F73DC" w:rsidRDefault="0027137A" w:rsidP="00292336">
            <w:pPr>
              <w:rPr>
                <w:sz w:val="20"/>
                <w:szCs w:val="20"/>
              </w:rPr>
            </w:pPr>
            <w:r>
              <w:rPr>
                <w:sz w:val="20"/>
                <w:szCs w:val="20"/>
              </w:rPr>
              <w:t>This information is included in the</w:t>
            </w:r>
            <w:r w:rsidRPr="002F73DC">
              <w:rPr>
                <w:sz w:val="20"/>
                <w:szCs w:val="20"/>
              </w:rPr>
              <w:t xml:space="preserve"> Community Infrastructure L</w:t>
            </w:r>
            <w:r>
              <w:rPr>
                <w:sz w:val="20"/>
                <w:szCs w:val="20"/>
              </w:rPr>
              <w:t>evy Monitoring section of</w:t>
            </w:r>
            <w:r w:rsidRPr="002F73DC">
              <w:rPr>
                <w:sz w:val="20"/>
                <w:szCs w:val="20"/>
              </w:rPr>
              <w:t xml:space="preserve"> the A</w:t>
            </w:r>
            <w:r>
              <w:rPr>
                <w:sz w:val="20"/>
                <w:szCs w:val="20"/>
              </w:rPr>
              <w:t>MR.</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w:t>
            </w:r>
            <w:r>
              <w:rPr>
                <w:sz w:val="20"/>
                <w:szCs w:val="20"/>
              </w:rPr>
              <w:t>D</w:t>
            </w:r>
            <w:r w:rsidRPr="002F73DC">
              <w:rPr>
                <w:sz w:val="20"/>
                <w:szCs w:val="20"/>
              </w:rPr>
              <w:t xml:space="preserve">uty to Cooperate </w:t>
            </w:r>
            <w:r>
              <w:rPr>
                <w:sz w:val="20"/>
                <w:szCs w:val="20"/>
              </w:rPr>
              <w:t>Monitoring section of</w:t>
            </w:r>
            <w:r w:rsidRPr="002F73DC">
              <w:rPr>
                <w:sz w:val="20"/>
                <w:szCs w:val="20"/>
              </w:rPr>
              <w:t xml:space="preserve"> the A</w:t>
            </w:r>
            <w:r>
              <w:rPr>
                <w:sz w:val="20"/>
                <w:szCs w:val="20"/>
              </w:rPr>
              <w:t>MR</w:t>
            </w:r>
            <w:r w:rsidRPr="002F73DC">
              <w:rPr>
                <w:sz w:val="20"/>
                <w:szCs w:val="20"/>
              </w:rPr>
              <w:t>.</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The Annual Monitoring Report is published as soon as possible after the information becomes available.</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 xml:space="preserve">The AMR is made publically available on the City Council’s website and at our main offices (St </w:t>
            </w:r>
            <w:proofErr w:type="spellStart"/>
            <w:r w:rsidRPr="002F73DC">
              <w:rPr>
                <w:sz w:val="20"/>
                <w:szCs w:val="20"/>
              </w:rPr>
              <w:t>Aldate’s</w:t>
            </w:r>
            <w:proofErr w:type="spellEnd"/>
            <w:r w:rsidRPr="002F73DC">
              <w:rPr>
                <w:sz w:val="20"/>
                <w:szCs w:val="20"/>
              </w:rPr>
              <w:t xml:space="preserve"> Chambers).</w:t>
            </w:r>
          </w:p>
        </w:tc>
      </w:tr>
      <w:tr w:rsidR="0027137A" w:rsidTr="00292336">
        <w:tc>
          <w:tcPr>
            <w:tcW w:w="5353" w:type="dxa"/>
          </w:tcPr>
          <w:p w:rsidR="0027137A" w:rsidRPr="002F73DC" w:rsidRDefault="0027137A" w:rsidP="00292336">
            <w:pPr>
              <w:rPr>
                <w:sz w:val="4"/>
                <w:szCs w:val="4"/>
              </w:rPr>
            </w:pPr>
          </w:p>
          <w:p w:rsidR="0027137A" w:rsidRPr="002F73DC" w:rsidRDefault="0027137A" w:rsidP="00292336">
            <w:pPr>
              <w:rPr>
                <w:b/>
                <w:sz w:val="20"/>
                <w:szCs w:val="20"/>
              </w:rPr>
            </w:pPr>
            <w:r w:rsidRPr="002F73DC">
              <w:rPr>
                <w:b/>
                <w:sz w:val="20"/>
                <w:szCs w:val="20"/>
              </w:rPr>
              <w:t xml:space="preserve">Section 62 of The Community Infrastructure Levy Regulations 2010 Section </w:t>
            </w:r>
          </w:p>
          <w:p w:rsidR="0027137A" w:rsidRPr="002F73DC" w:rsidRDefault="0027137A" w:rsidP="00292336">
            <w:pPr>
              <w:rPr>
                <w:sz w:val="4"/>
                <w:szCs w:val="4"/>
              </w:rPr>
            </w:pPr>
          </w:p>
          <w:p w:rsidR="0027137A" w:rsidRPr="002F73DC" w:rsidRDefault="0027137A" w:rsidP="00292336">
            <w:pPr>
              <w:rPr>
                <w:sz w:val="20"/>
                <w:szCs w:val="20"/>
              </w:rPr>
            </w:pPr>
            <w:r w:rsidRPr="002F73DC">
              <w:rPr>
                <w:sz w:val="20"/>
                <w:szCs w:val="20"/>
              </w:rPr>
              <w:t>In any year that a charging authority collects CIL it must produce a report that includes:</w:t>
            </w:r>
          </w:p>
          <w:p w:rsidR="0027137A" w:rsidRPr="002F73DC" w:rsidRDefault="0027137A" w:rsidP="00292336">
            <w:pPr>
              <w:rPr>
                <w:sz w:val="20"/>
                <w:szCs w:val="20"/>
              </w:rPr>
            </w:pPr>
            <w:r w:rsidRPr="002F73DC">
              <w:rPr>
                <w:sz w:val="20"/>
                <w:szCs w:val="20"/>
              </w:rPr>
              <w:t xml:space="preserve">(a) </w:t>
            </w:r>
            <w:proofErr w:type="gramStart"/>
            <w:r w:rsidRPr="002F73DC">
              <w:rPr>
                <w:sz w:val="20"/>
                <w:szCs w:val="20"/>
              </w:rPr>
              <w:t>the</w:t>
            </w:r>
            <w:proofErr w:type="gramEnd"/>
            <w:r w:rsidRPr="002F73DC">
              <w:rPr>
                <w:sz w:val="20"/>
                <w:szCs w:val="20"/>
              </w:rPr>
              <w:t xml:space="preserve"> total CIL receipts for the reported year; .</w:t>
            </w:r>
          </w:p>
          <w:p w:rsidR="0027137A" w:rsidRPr="002F73DC" w:rsidRDefault="0027137A" w:rsidP="00292336">
            <w:pPr>
              <w:rPr>
                <w:sz w:val="20"/>
                <w:szCs w:val="20"/>
              </w:rPr>
            </w:pPr>
            <w:r w:rsidRPr="002F73DC">
              <w:rPr>
                <w:sz w:val="20"/>
                <w:szCs w:val="20"/>
              </w:rPr>
              <w:t xml:space="preserve">(b) </w:t>
            </w:r>
            <w:proofErr w:type="gramStart"/>
            <w:r w:rsidRPr="002F73DC">
              <w:rPr>
                <w:sz w:val="20"/>
                <w:szCs w:val="20"/>
              </w:rPr>
              <w:t>the</w:t>
            </w:r>
            <w:proofErr w:type="gramEnd"/>
            <w:r w:rsidRPr="002F73DC">
              <w:rPr>
                <w:sz w:val="20"/>
                <w:szCs w:val="20"/>
              </w:rPr>
              <w:t xml:space="preserve"> total CIL expenditure for the reported year; .</w:t>
            </w:r>
          </w:p>
          <w:p w:rsidR="0027137A" w:rsidRPr="002F73DC" w:rsidRDefault="0027137A" w:rsidP="00292336">
            <w:pPr>
              <w:rPr>
                <w:sz w:val="20"/>
                <w:szCs w:val="20"/>
              </w:rPr>
            </w:pPr>
            <w:r w:rsidRPr="002F73DC">
              <w:rPr>
                <w:sz w:val="20"/>
                <w:szCs w:val="20"/>
              </w:rPr>
              <w:t>(c</w:t>
            </w:r>
            <w:proofErr w:type="gramStart"/>
            <w:r w:rsidRPr="002F73DC">
              <w:rPr>
                <w:sz w:val="20"/>
                <w:szCs w:val="20"/>
              </w:rPr>
              <w:t>)summary</w:t>
            </w:r>
            <w:proofErr w:type="gramEnd"/>
            <w:r w:rsidRPr="002F73DC">
              <w:rPr>
                <w:sz w:val="20"/>
                <w:szCs w:val="20"/>
              </w:rPr>
              <w:t xml:space="preserve"> details of CIL expenditure during the reported year including— .</w:t>
            </w:r>
          </w:p>
          <w:p w:rsidR="0027137A" w:rsidRPr="002F73DC" w:rsidRDefault="0027137A" w:rsidP="00292336">
            <w:pPr>
              <w:rPr>
                <w:sz w:val="20"/>
                <w:szCs w:val="20"/>
              </w:rPr>
            </w:pPr>
            <w:r w:rsidRPr="002F73DC">
              <w:rPr>
                <w:sz w:val="20"/>
                <w:szCs w:val="20"/>
              </w:rPr>
              <w:t>(</w:t>
            </w:r>
            <w:proofErr w:type="spellStart"/>
            <w:r w:rsidRPr="002F73DC">
              <w:rPr>
                <w:sz w:val="20"/>
                <w:szCs w:val="20"/>
              </w:rPr>
              <w:t>i</w:t>
            </w:r>
            <w:proofErr w:type="spellEnd"/>
            <w:proofErr w:type="gramStart"/>
            <w:r w:rsidRPr="002F73DC">
              <w:rPr>
                <w:sz w:val="20"/>
                <w:szCs w:val="20"/>
              </w:rPr>
              <w:t>)the</w:t>
            </w:r>
            <w:proofErr w:type="gramEnd"/>
            <w:r w:rsidRPr="002F73DC">
              <w:rPr>
                <w:sz w:val="20"/>
                <w:szCs w:val="20"/>
              </w:rPr>
              <w:t xml:space="preserve"> items of infrastructure to which CIL (including land payments) has been applied, .</w:t>
            </w:r>
          </w:p>
          <w:p w:rsidR="0027137A" w:rsidRPr="002F73DC" w:rsidRDefault="0027137A" w:rsidP="00292336">
            <w:pPr>
              <w:rPr>
                <w:sz w:val="20"/>
                <w:szCs w:val="20"/>
              </w:rPr>
            </w:pPr>
            <w:r w:rsidRPr="002F73DC">
              <w:rPr>
                <w:sz w:val="20"/>
                <w:szCs w:val="20"/>
              </w:rPr>
              <w:t>(</w:t>
            </w:r>
            <w:proofErr w:type="gramStart"/>
            <w:r w:rsidRPr="002F73DC">
              <w:rPr>
                <w:sz w:val="20"/>
                <w:szCs w:val="20"/>
              </w:rPr>
              <w:t>ii)</w:t>
            </w:r>
            <w:proofErr w:type="gramEnd"/>
            <w:r w:rsidRPr="002F73DC">
              <w:rPr>
                <w:sz w:val="20"/>
                <w:szCs w:val="20"/>
              </w:rPr>
              <w:t>the amount of CIL expenditure on each item, .</w:t>
            </w:r>
          </w:p>
          <w:p w:rsidR="0027137A" w:rsidRPr="002F73DC" w:rsidRDefault="0027137A" w:rsidP="00292336">
            <w:pPr>
              <w:rPr>
                <w:sz w:val="20"/>
                <w:szCs w:val="20"/>
              </w:rPr>
            </w:pPr>
            <w:r w:rsidRPr="002F73DC">
              <w:rPr>
                <w:sz w:val="20"/>
                <w:szCs w:val="20"/>
              </w:rPr>
              <w:t>(iii)the amount of CIL applied to repay money borrowed, including any interest, with details of the infrastructure items which that money was used to provide (wholly or in part), .</w:t>
            </w:r>
          </w:p>
          <w:p w:rsidR="0027137A" w:rsidRPr="002F73DC" w:rsidRDefault="0027137A" w:rsidP="00292336">
            <w:pPr>
              <w:rPr>
                <w:sz w:val="20"/>
                <w:szCs w:val="20"/>
              </w:rPr>
            </w:pPr>
            <w:r w:rsidRPr="002F73DC">
              <w:rPr>
                <w:sz w:val="20"/>
                <w:szCs w:val="20"/>
              </w:rPr>
              <w:t>(iv)the amount of CIL applied to administrative expenses pursuant to regulation 61, and that amount expressed as a percentage of CIL collected in that year in accordance with that regulation; and .</w:t>
            </w:r>
          </w:p>
          <w:p w:rsidR="0027137A" w:rsidRPr="002F73DC" w:rsidRDefault="0027137A" w:rsidP="00292336">
            <w:pPr>
              <w:rPr>
                <w:sz w:val="20"/>
                <w:szCs w:val="20"/>
              </w:rPr>
            </w:pPr>
            <w:r w:rsidRPr="002F73DC">
              <w:rPr>
                <w:sz w:val="20"/>
                <w:szCs w:val="20"/>
              </w:rPr>
              <w:t>(d</w:t>
            </w:r>
            <w:proofErr w:type="gramStart"/>
            <w:r w:rsidRPr="002F73DC">
              <w:rPr>
                <w:sz w:val="20"/>
                <w:szCs w:val="20"/>
              </w:rPr>
              <w:t>)the</w:t>
            </w:r>
            <w:proofErr w:type="gramEnd"/>
            <w:r w:rsidRPr="002F73DC">
              <w:rPr>
                <w:sz w:val="20"/>
                <w:szCs w:val="20"/>
              </w:rPr>
              <w:t xml:space="preserve"> total amount of CIL receipts retained at the end of the reported year.</w:t>
            </w: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The charging authority must publish the report on its website no later than 31st December following the end of the reported year.</w:t>
            </w:r>
          </w:p>
          <w:p w:rsidR="0027137A" w:rsidRPr="002F73DC" w:rsidRDefault="0027137A" w:rsidP="00292336">
            <w:pPr>
              <w:rPr>
                <w:sz w:val="20"/>
                <w:szCs w:val="20"/>
              </w:rPr>
            </w:pPr>
          </w:p>
        </w:tc>
        <w:tc>
          <w:tcPr>
            <w:tcW w:w="3889" w:type="dxa"/>
          </w:tcPr>
          <w:p w:rsidR="0027137A" w:rsidRPr="002F73DC" w:rsidRDefault="0027137A" w:rsidP="00292336">
            <w:pPr>
              <w:rPr>
                <w:sz w:val="4"/>
                <w:szCs w:val="4"/>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4"/>
                <w:szCs w:val="4"/>
              </w:rPr>
            </w:pPr>
          </w:p>
          <w:p w:rsidR="0027137A" w:rsidRPr="002F73DC" w:rsidRDefault="0027137A" w:rsidP="00292336">
            <w:pPr>
              <w:rPr>
                <w:sz w:val="20"/>
                <w:szCs w:val="20"/>
              </w:rPr>
            </w:pPr>
            <w:r>
              <w:rPr>
                <w:sz w:val="20"/>
                <w:szCs w:val="20"/>
              </w:rPr>
              <w:t>This information is included in the</w:t>
            </w:r>
            <w:r w:rsidRPr="002F73DC">
              <w:rPr>
                <w:sz w:val="20"/>
                <w:szCs w:val="20"/>
              </w:rPr>
              <w:t xml:space="preserve"> Community Infrastructure L</w:t>
            </w:r>
            <w:r>
              <w:rPr>
                <w:sz w:val="20"/>
                <w:szCs w:val="20"/>
              </w:rPr>
              <w:t>evy Monitoring section of</w:t>
            </w:r>
            <w:r w:rsidRPr="002F73DC">
              <w:rPr>
                <w:sz w:val="20"/>
                <w:szCs w:val="20"/>
              </w:rPr>
              <w:t xml:space="preserve"> the A</w:t>
            </w:r>
            <w:r>
              <w:rPr>
                <w:sz w:val="20"/>
                <w:szCs w:val="20"/>
              </w:rPr>
              <w:t>MR.</w:t>
            </w: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p>
          <w:p w:rsidR="0027137A" w:rsidRDefault="0027137A" w:rsidP="00292336">
            <w:pPr>
              <w:rPr>
                <w:sz w:val="20"/>
                <w:szCs w:val="20"/>
              </w:rPr>
            </w:pPr>
          </w:p>
          <w:p w:rsidR="0027137A" w:rsidRPr="002F73DC" w:rsidRDefault="0027137A" w:rsidP="00292336">
            <w:pPr>
              <w:rPr>
                <w:sz w:val="20"/>
                <w:szCs w:val="20"/>
              </w:rPr>
            </w:pPr>
          </w:p>
          <w:p w:rsidR="0027137A"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p>
          <w:p w:rsidR="0027137A" w:rsidRPr="002F73DC" w:rsidRDefault="0027137A" w:rsidP="00292336">
            <w:pPr>
              <w:rPr>
                <w:sz w:val="20"/>
                <w:szCs w:val="20"/>
              </w:rPr>
            </w:pPr>
            <w:r w:rsidRPr="002F73DC">
              <w:rPr>
                <w:sz w:val="20"/>
                <w:szCs w:val="20"/>
              </w:rPr>
              <w:t>The Annual Monitoring Report has been published on the City Council website prior to the 31</w:t>
            </w:r>
            <w:r w:rsidRPr="002F73DC">
              <w:rPr>
                <w:sz w:val="20"/>
                <w:szCs w:val="20"/>
                <w:vertAlign w:val="superscript"/>
              </w:rPr>
              <w:t>st</w:t>
            </w:r>
            <w:r w:rsidRPr="002F73DC">
              <w:rPr>
                <w:sz w:val="20"/>
                <w:szCs w:val="20"/>
              </w:rPr>
              <w:t xml:space="preserve"> December 2016.</w:t>
            </w:r>
          </w:p>
          <w:p w:rsidR="0027137A" w:rsidRPr="002F73DC" w:rsidRDefault="0027137A" w:rsidP="00292336">
            <w:pPr>
              <w:rPr>
                <w:sz w:val="20"/>
                <w:szCs w:val="20"/>
              </w:rPr>
            </w:pPr>
          </w:p>
        </w:tc>
      </w:tr>
    </w:tbl>
    <w:p w:rsidR="0027137A" w:rsidRDefault="0027137A" w:rsidP="0027137A"/>
    <w:p w:rsidR="0027137A" w:rsidRDefault="0027137A" w:rsidP="0027137A">
      <w:pPr>
        <w:pStyle w:val="Heading1"/>
      </w:pPr>
      <w:bookmarkStart w:id="53" w:name="_Toc529178382"/>
      <w:r>
        <w:lastRenderedPageBreak/>
        <w:t>Appendix C: How we monitor the implementation of policies in Oxford’s Local Plan</w:t>
      </w:r>
      <w:bookmarkEnd w:id="53"/>
    </w:p>
    <w:p w:rsidR="0027137A" w:rsidRPr="00DC4A1B" w:rsidRDefault="0027137A" w:rsidP="0027137A"/>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27137A" w:rsidRPr="003C5A88" w:rsidTr="00292336">
        <w:tc>
          <w:tcPr>
            <w:tcW w:w="3510" w:type="dxa"/>
            <w:shd w:val="clear" w:color="auto" w:fill="D9D9D9" w:themeFill="background1" w:themeFillShade="D9"/>
          </w:tcPr>
          <w:p w:rsidR="0027137A" w:rsidRPr="003C5A88" w:rsidRDefault="0027137A" w:rsidP="00292336">
            <w:pPr>
              <w:rPr>
                <w:rFonts w:asciiTheme="minorHAnsi" w:hAnsiTheme="minorHAnsi"/>
                <w:b/>
                <w:sz w:val="20"/>
                <w:szCs w:val="20"/>
              </w:rPr>
            </w:pPr>
            <w:r w:rsidRPr="003C5A88">
              <w:rPr>
                <w:rFonts w:asciiTheme="minorHAnsi" w:hAnsiTheme="minorHAnsi"/>
                <w:b/>
                <w:sz w:val="20"/>
                <w:szCs w:val="20"/>
              </w:rPr>
              <w:t xml:space="preserve">Policy </w:t>
            </w:r>
          </w:p>
        </w:tc>
        <w:tc>
          <w:tcPr>
            <w:tcW w:w="5732" w:type="dxa"/>
            <w:shd w:val="clear" w:color="auto" w:fill="D9D9D9" w:themeFill="background1" w:themeFillShade="D9"/>
          </w:tcPr>
          <w:p w:rsidR="0027137A" w:rsidRPr="003C5A88" w:rsidRDefault="0027137A" w:rsidP="00292336">
            <w:pPr>
              <w:rPr>
                <w:rFonts w:asciiTheme="minorHAnsi" w:hAnsiTheme="minorHAnsi"/>
                <w:b/>
                <w:sz w:val="20"/>
                <w:szCs w:val="20"/>
              </w:rPr>
            </w:pPr>
            <w:r w:rsidRPr="003C5A88">
              <w:rPr>
                <w:rFonts w:asciiTheme="minorHAnsi" w:hAnsiTheme="minorHAnsi"/>
                <w:b/>
                <w:sz w:val="20"/>
                <w:szCs w:val="20"/>
              </w:rPr>
              <w:t>How we monitor this…</w:t>
            </w:r>
          </w:p>
        </w:tc>
      </w:tr>
      <w:tr w:rsidR="0027137A" w:rsidRPr="003C5A88" w:rsidTr="00292336">
        <w:tc>
          <w:tcPr>
            <w:tcW w:w="9242" w:type="dxa"/>
            <w:gridSpan w:val="2"/>
            <w:shd w:val="clear" w:color="auto" w:fill="404040" w:themeFill="text1" w:themeFillTint="BF"/>
          </w:tcPr>
          <w:p w:rsidR="0027137A" w:rsidRPr="003C5A88" w:rsidRDefault="0027137A" w:rsidP="00292336">
            <w:pPr>
              <w:spacing w:before="40" w:after="40"/>
              <w:rPr>
                <w:rFonts w:asciiTheme="minorHAnsi" w:hAnsiTheme="minorHAnsi"/>
                <w:sz w:val="20"/>
                <w:szCs w:val="20"/>
              </w:rPr>
            </w:pPr>
            <w:r w:rsidRPr="003C5A88">
              <w:rPr>
                <w:rFonts w:asciiTheme="minorHAnsi" w:hAnsiTheme="minorHAnsi"/>
                <w:color w:val="FFFFFF" w:themeColor="background1"/>
                <w:sz w:val="20"/>
                <w:szCs w:val="20"/>
              </w:rPr>
              <w:t>Core Strategy 2026</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 Hierarchy of Centres</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4: Location of new A1 retail development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 Previously developed land and greenfield land</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14: Residential development completed on previously developed land</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 Regeneration areas</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21: Regeneration areas</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CS4 Green Belt</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27: Development in the Green Belt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CS5 West End</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22: West End Area Action Plan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CS6 Northern Gateway</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24: Northern Gateway Area Action Plan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CS7 Land at Barton</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23: Barton Area Action Plan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CS8 Land at Summertown</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 xml:space="preserve">N/A - </w:t>
            </w:r>
            <w:r w:rsidRPr="003334C7">
              <w:rPr>
                <w:rFonts w:eastAsia="Calibri" w:cs="Times New Roman"/>
                <w:sz w:val="20"/>
                <w:szCs w:val="20"/>
              </w:rPr>
              <w:t>This site did not become available during the 2015/16 monitoring year.</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CS9 Energy and natural resources</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26: Natural Resources Impact Analysis (NIRA)</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CS10 Waste and recycling</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See Appendix D (Core Strategy Sustainability Appraisal Monitoring)</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CS11 Flooding</w:t>
            </w:r>
          </w:p>
        </w:tc>
        <w:tc>
          <w:tcPr>
            <w:tcW w:w="5732" w:type="dxa"/>
            <w:shd w:val="clear" w:color="auto" w:fill="auto"/>
          </w:tcPr>
          <w:p w:rsidR="0027137A" w:rsidRPr="003334C7" w:rsidRDefault="0027137A" w:rsidP="00292336">
            <w:pPr>
              <w:spacing w:before="40" w:after="40" w:line="276" w:lineRule="auto"/>
              <w:rPr>
                <w:rFonts w:eastAsia="Calibri" w:cs="Times New Roman"/>
                <w:sz w:val="20"/>
                <w:szCs w:val="20"/>
              </w:rPr>
            </w:pPr>
            <w:r w:rsidRPr="003334C7">
              <w:rPr>
                <w:rFonts w:eastAsia="Calibri" w:cs="Times New Roman"/>
                <w:sz w:val="20"/>
                <w:szCs w:val="20"/>
              </w:rPr>
              <w:t>N/A - Monitoring target no longer relevant.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CS12 Biodiversity</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25: Changes in areas of biodiversity importance</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CS13 Supporting access to new development</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22: West End Area Action Plan</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 xml:space="preserve">Indicator 23: </w:t>
            </w:r>
            <w:r w:rsidRPr="003334C7">
              <w:rPr>
                <w:sz w:val="20"/>
                <w:szCs w:val="20"/>
              </w:rPr>
              <w:t>Barton Area Action Plan</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24: Northern Gateway Area Action Plan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CS14 Supporting city-wide movement</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33: Traffic growth at inner and outer cordons</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CS15 Primary healthcare</w:t>
            </w:r>
          </w:p>
        </w:tc>
        <w:tc>
          <w:tcPr>
            <w:tcW w:w="5732"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22: West End Area Action Plan </w:t>
            </w:r>
          </w:p>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23: Barton Area Action Plan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CS16 Access to education</w:t>
            </w:r>
          </w:p>
        </w:tc>
        <w:tc>
          <w:tcPr>
            <w:tcW w:w="5732"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23: Barton Area Action Plan</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21: Regeneration areas</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CS17 Infrastructure and developer contribution</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N/A - The Core Strategy does not set a specific monitoring target.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CS18 Urban design, townscape character and the historic environment</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22: West End Area Action Plan</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28: Heritage assets at risk</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29: Applications involving the total, substantial or partial demolition of a listed building</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30: Appeals allowed where conservation policies were cited as a reason for refusal</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31: Tree Preservation Orders (TPOs)</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CS19 Community safety</w:t>
            </w:r>
          </w:p>
        </w:tc>
        <w:tc>
          <w:tcPr>
            <w:tcW w:w="5732"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Monitoring target no longer relevant.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CS20 Cultural and community development</w:t>
            </w:r>
          </w:p>
        </w:tc>
        <w:tc>
          <w:tcPr>
            <w:tcW w:w="5732"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22: West End Area Action Plan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CS21 Green spaces, leisure and sport</w:t>
            </w:r>
          </w:p>
        </w:tc>
        <w:tc>
          <w:tcPr>
            <w:tcW w:w="5732"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A Clean and Green Oxford</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CS22 Level of housing growth</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7: Housing trajectory</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CS23 Mix of housing</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15: Mix of housing (dwelling size)</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CS24 Affordable housing</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8: Affordable housing completions</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 xml:space="preserve">Indicator 10: Proportion of affordable housing where there is a </w:t>
            </w:r>
            <w:r w:rsidRPr="003334C7">
              <w:rPr>
                <w:rFonts w:asciiTheme="minorHAnsi" w:hAnsiTheme="minorHAnsi"/>
                <w:sz w:val="20"/>
                <w:szCs w:val="20"/>
              </w:rPr>
              <w:lastRenderedPageBreak/>
              <w:t>policy requirement (permissions)</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lastRenderedPageBreak/>
              <w:t>CS25 Student accommodation</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17: Students and purpose-built student accommodation</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CS26 Accommodation for travelling communities</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N/A - The Core Strategy does not set a specific monitoring target.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CS27 Sustainable economy</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1: Employment land supply</w:t>
            </w:r>
          </w:p>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 xml:space="preserve">Indicator 2: Planning permissions granted for new B1 </w:t>
            </w:r>
            <w:proofErr w:type="spellStart"/>
            <w:r w:rsidRPr="003334C7">
              <w:rPr>
                <w:rFonts w:asciiTheme="minorHAnsi" w:hAnsiTheme="minorHAnsi"/>
                <w:sz w:val="20"/>
                <w:szCs w:val="20"/>
              </w:rPr>
              <w:t>floorspace</w:t>
            </w:r>
            <w:proofErr w:type="spellEnd"/>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CS28 Employment sites</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1: Employment land supply</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CS29 The universities</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3: Planning permissions granted for key employment uses (hospital healthcare, medical research and university academic (teaching and study))</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CS30 Hospitals and medical research</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3: Planning permissions granted for key employment uses (hospital healthcare, medical research and university academic (teaching and study))</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CS31 Retail</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cs="Calibri"/>
                <w:sz w:val="20"/>
                <w:szCs w:val="20"/>
              </w:rPr>
              <w:t xml:space="preserve">Indicator </w:t>
            </w:r>
            <w:r w:rsidRPr="003334C7">
              <w:rPr>
                <w:rFonts w:asciiTheme="minorHAnsi" w:hAnsiTheme="minorHAnsi"/>
                <w:sz w:val="20"/>
                <w:szCs w:val="20"/>
              </w:rPr>
              <w:t>4</w:t>
            </w:r>
            <w:r w:rsidRPr="003334C7">
              <w:rPr>
                <w:rFonts w:cs="Calibri"/>
                <w:sz w:val="20"/>
                <w:szCs w:val="20"/>
              </w:rPr>
              <w:t>: Location of new A1 retail development</w:t>
            </w:r>
          </w:p>
        </w:tc>
      </w:tr>
      <w:tr w:rsidR="0027137A" w:rsidRPr="003334C7" w:rsidTr="00292336">
        <w:tc>
          <w:tcPr>
            <w:tcW w:w="3510" w:type="dxa"/>
            <w:shd w:val="clear" w:color="auto" w:fill="auto"/>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CS32 Sustainable tourism</w:t>
            </w:r>
          </w:p>
        </w:tc>
        <w:tc>
          <w:tcPr>
            <w:tcW w:w="5732" w:type="dxa"/>
            <w:shd w:val="clear" w:color="auto" w:fill="auto"/>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6: Supply of short stay accommodation</w:t>
            </w:r>
          </w:p>
        </w:tc>
      </w:tr>
    </w:tbl>
    <w:p w:rsidR="0027137A" w:rsidRPr="003334C7" w:rsidRDefault="0027137A" w:rsidP="0027137A">
      <w:pPr>
        <w:rPr>
          <w:rFonts w:asciiTheme="minorHAnsi" w:hAnsiTheme="minorHAnsi" w:cstheme="minorBidi"/>
          <w:sz w:val="20"/>
          <w:szCs w:val="20"/>
        </w:rPr>
      </w:pP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27137A" w:rsidRPr="003334C7" w:rsidTr="00292336">
        <w:tc>
          <w:tcPr>
            <w:tcW w:w="9242" w:type="dxa"/>
            <w:gridSpan w:val="2"/>
            <w:shd w:val="clear" w:color="auto" w:fill="404040" w:themeFill="text1" w:themeFillTint="BF"/>
          </w:tcPr>
          <w:p w:rsidR="0027137A" w:rsidRPr="003334C7" w:rsidRDefault="0027137A" w:rsidP="00292336">
            <w:pPr>
              <w:rPr>
                <w:rFonts w:asciiTheme="minorHAnsi" w:hAnsiTheme="minorHAnsi"/>
                <w:b/>
                <w:sz w:val="20"/>
                <w:szCs w:val="20"/>
              </w:rPr>
            </w:pPr>
            <w:r w:rsidRPr="003334C7">
              <w:rPr>
                <w:rFonts w:asciiTheme="minorHAnsi" w:hAnsiTheme="minorHAnsi"/>
                <w:b/>
                <w:color w:val="FFFFFF" w:themeColor="background1"/>
                <w:sz w:val="20"/>
                <w:szCs w:val="20"/>
              </w:rPr>
              <w:t>Sites and Housing Plan 2011-2026</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 Changes to existing homes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cs="Calibri"/>
                <w:sz w:val="20"/>
                <w:szCs w:val="20"/>
              </w:rPr>
              <w:t xml:space="preserve">Indicator </w:t>
            </w:r>
            <w:r w:rsidRPr="003334C7">
              <w:rPr>
                <w:rFonts w:asciiTheme="minorHAnsi" w:hAnsiTheme="minorHAnsi"/>
                <w:sz w:val="20"/>
                <w:szCs w:val="20"/>
              </w:rPr>
              <w:t>13</w:t>
            </w:r>
            <w:r w:rsidRPr="003334C7">
              <w:rPr>
                <w:rFonts w:cs="Calibri"/>
                <w:sz w:val="20"/>
                <w:szCs w:val="20"/>
              </w:rPr>
              <w:t>: Changes of use from existing homes (permissions)</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HP2 Accessible and adaptable homes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Monitoring target no longer relevant.</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HP3 Affordable homes from general housing</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10: Proportion of affordable housing where there is a policy requirement (permissions)</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HP4 Affordable homes from small housing sites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11: Financial contributions towards affordable housing</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HP5 Location of student accommodation</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18: Location of new student accommodation</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HP6 Affordable homes from student accommodation</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11: Financial contributions towards affordable housing</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HP7 HMOs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19: Houses in multiple occupation (HMOs)</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HP8 Residential moorings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20: Residential moorings</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HP9 Design, character and context</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See CS18 monitoring </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HP10 Developing on residential gardens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HP11 Low carbon homes</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26: Natural Resources Impact Analysis (NIRA)</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HP12 Indoor space</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Monitoring target no longer relevant as the Nation Spaces Standards are now being applied.</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HP13 Outdoor space</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HP14 Privacy and daylight</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HP15 Residential cycle parking</w:t>
            </w:r>
          </w:p>
        </w:tc>
        <w:tc>
          <w:tcPr>
            <w:tcW w:w="5732" w:type="dxa"/>
            <w:vMerge w:val="restart"/>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Previous AMRs show that these policies are being consistently implemented. Monitoring will now be undertaken periodically.</w:t>
            </w:r>
          </w:p>
        </w:tc>
      </w:tr>
      <w:tr w:rsidR="0027137A" w:rsidRPr="003334C7" w:rsidTr="00292336">
        <w:tc>
          <w:tcPr>
            <w:tcW w:w="3510"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HP16 Residential car parking</w:t>
            </w:r>
          </w:p>
        </w:tc>
        <w:tc>
          <w:tcPr>
            <w:tcW w:w="5732" w:type="dxa"/>
            <w:vMerge/>
          </w:tcPr>
          <w:p w:rsidR="0027137A" w:rsidRPr="003334C7" w:rsidRDefault="0027137A" w:rsidP="00292336">
            <w:pPr>
              <w:spacing w:before="40" w:after="40"/>
              <w:rPr>
                <w:rFonts w:asciiTheme="minorHAnsi" w:hAnsiTheme="minorHAnsi"/>
                <w:sz w:val="20"/>
                <w:szCs w:val="20"/>
              </w:rPr>
            </w:pPr>
          </w:p>
        </w:tc>
      </w:tr>
    </w:tbl>
    <w:p w:rsidR="0027137A" w:rsidRPr="003334C7" w:rsidRDefault="0027137A" w:rsidP="0027137A">
      <w:pPr>
        <w:pStyle w:val="Heading1"/>
        <w:rPr>
          <w:sz w:val="20"/>
          <w:szCs w:val="20"/>
        </w:rPr>
      </w:pP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27137A" w:rsidRPr="003334C7" w:rsidTr="00292336">
        <w:tc>
          <w:tcPr>
            <w:tcW w:w="9242" w:type="dxa"/>
            <w:gridSpan w:val="2"/>
            <w:shd w:val="clear" w:color="auto" w:fill="404040" w:themeFill="text1" w:themeFillTint="BF"/>
          </w:tcPr>
          <w:p w:rsidR="0027137A" w:rsidRPr="003334C7" w:rsidRDefault="0027137A" w:rsidP="00292336">
            <w:pPr>
              <w:rPr>
                <w:rFonts w:asciiTheme="minorHAnsi" w:hAnsiTheme="minorHAnsi"/>
                <w:b/>
                <w:sz w:val="20"/>
                <w:szCs w:val="20"/>
              </w:rPr>
            </w:pPr>
            <w:r w:rsidRPr="003334C7">
              <w:rPr>
                <w:rFonts w:asciiTheme="minorHAnsi" w:hAnsiTheme="minorHAnsi"/>
                <w:b/>
                <w:color w:val="FFFFFF" w:themeColor="background1"/>
                <w:sz w:val="20"/>
                <w:szCs w:val="20"/>
              </w:rPr>
              <w:t>Area Action Plans</w:t>
            </w:r>
          </w:p>
        </w:tc>
      </w:tr>
      <w:tr w:rsidR="0027137A" w:rsidRPr="003334C7" w:rsidTr="00292336">
        <w:tc>
          <w:tcPr>
            <w:tcW w:w="3510" w:type="dxa"/>
          </w:tcPr>
          <w:p w:rsidR="0027137A" w:rsidRPr="003334C7" w:rsidRDefault="0027137A" w:rsidP="00292336">
            <w:pPr>
              <w:spacing w:before="60" w:after="60"/>
              <w:rPr>
                <w:rFonts w:asciiTheme="minorHAnsi" w:hAnsiTheme="minorHAnsi" w:cstheme="minorHAnsi"/>
                <w:sz w:val="20"/>
                <w:szCs w:val="20"/>
              </w:rPr>
            </w:pPr>
            <w:r w:rsidRPr="003334C7">
              <w:rPr>
                <w:rFonts w:asciiTheme="minorHAnsi" w:hAnsiTheme="minorHAnsi" w:cstheme="minorHAnsi"/>
                <w:sz w:val="20"/>
                <w:szCs w:val="20"/>
              </w:rPr>
              <w:t>Northern Gateway Area Action Plan</w:t>
            </w:r>
          </w:p>
        </w:tc>
        <w:tc>
          <w:tcPr>
            <w:tcW w:w="5732" w:type="dxa"/>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24: Northern Gateway Area Action Plan</w:t>
            </w:r>
          </w:p>
        </w:tc>
      </w:tr>
      <w:tr w:rsidR="0027137A" w:rsidRPr="003334C7" w:rsidTr="00292336">
        <w:tc>
          <w:tcPr>
            <w:tcW w:w="3510" w:type="dxa"/>
          </w:tcPr>
          <w:p w:rsidR="0027137A" w:rsidRPr="003334C7" w:rsidRDefault="0027137A" w:rsidP="00292336">
            <w:pPr>
              <w:spacing w:before="60" w:after="60"/>
              <w:rPr>
                <w:rFonts w:asciiTheme="minorHAnsi" w:hAnsiTheme="minorHAnsi" w:cstheme="minorHAnsi"/>
                <w:sz w:val="20"/>
                <w:szCs w:val="20"/>
              </w:rPr>
            </w:pPr>
            <w:r w:rsidRPr="003334C7">
              <w:rPr>
                <w:rFonts w:asciiTheme="minorHAnsi" w:hAnsiTheme="minorHAnsi" w:cstheme="minorHAnsi"/>
                <w:sz w:val="20"/>
                <w:szCs w:val="20"/>
              </w:rPr>
              <w:t>Barton Area Action Plan</w:t>
            </w:r>
          </w:p>
        </w:tc>
        <w:tc>
          <w:tcPr>
            <w:tcW w:w="5732" w:type="dxa"/>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 xml:space="preserve">Indicator 23: </w:t>
            </w:r>
            <w:r w:rsidRPr="003334C7">
              <w:rPr>
                <w:sz w:val="20"/>
                <w:szCs w:val="20"/>
              </w:rPr>
              <w:t>Barton Area Action Plan</w:t>
            </w:r>
          </w:p>
        </w:tc>
      </w:tr>
      <w:tr w:rsidR="0027137A" w:rsidRPr="003C5A88" w:rsidTr="00292336">
        <w:tc>
          <w:tcPr>
            <w:tcW w:w="3510" w:type="dxa"/>
          </w:tcPr>
          <w:p w:rsidR="0027137A" w:rsidRPr="003334C7" w:rsidRDefault="0027137A" w:rsidP="00292336">
            <w:pPr>
              <w:spacing w:before="60" w:after="60"/>
              <w:rPr>
                <w:rFonts w:asciiTheme="minorHAnsi" w:hAnsiTheme="minorHAnsi" w:cstheme="minorHAnsi"/>
                <w:sz w:val="20"/>
                <w:szCs w:val="20"/>
              </w:rPr>
            </w:pPr>
            <w:r w:rsidRPr="003334C7">
              <w:rPr>
                <w:rFonts w:asciiTheme="minorHAnsi" w:hAnsiTheme="minorHAnsi" w:cstheme="minorHAnsi"/>
                <w:sz w:val="20"/>
                <w:szCs w:val="20"/>
              </w:rPr>
              <w:t>West End Area Action Plan</w:t>
            </w:r>
          </w:p>
        </w:tc>
        <w:tc>
          <w:tcPr>
            <w:tcW w:w="5732" w:type="dxa"/>
          </w:tcPr>
          <w:p w:rsidR="0027137A" w:rsidRPr="003334C7" w:rsidRDefault="0027137A" w:rsidP="00292336">
            <w:pPr>
              <w:spacing w:before="40" w:after="40"/>
              <w:rPr>
                <w:rFonts w:asciiTheme="minorHAnsi" w:hAnsiTheme="minorHAnsi" w:cs="Arial"/>
                <w:sz w:val="20"/>
                <w:szCs w:val="20"/>
              </w:rPr>
            </w:pPr>
            <w:r w:rsidRPr="003334C7">
              <w:rPr>
                <w:rFonts w:asciiTheme="minorHAnsi" w:hAnsiTheme="minorHAnsi"/>
                <w:sz w:val="20"/>
                <w:szCs w:val="20"/>
              </w:rPr>
              <w:t>Indicator 22: West End Area Action Plan</w:t>
            </w:r>
          </w:p>
        </w:tc>
      </w:tr>
    </w:tbl>
    <w:p w:rsidR="0027137A" w:rsidRDefault="0027137A" w:rsidP="0027137A">
      <w:pPr>
        <w:pStyle w:val="Heading1"/>
      </w:pPr>
      <w:bookmarkStart w:id="54" w:name="_Toc529178383"/>
      <w:r>
        <w:lastRenderedPageBreak/>
        <w:t xml:space="preserve">Appendix D: </w:t>
      </w:r>
      <w:r w:rsidRPr="00DC4A1B">
        <w:t>Core Strategy Sustainability Appraisal</w:t>
      </w:r>
      <w:r>
        <w:t xml:space="preserve"> m</w:t>
      </w:r>
      <w:r w:rsidRPr="00DC4A1B">
        <w:t>onitoring</w:t>
      </w:r>
      <w:bookmarkEnd w:id="54"/>
    </w:p>
    <w:p w:rsidR="0027137A" w:rsidRDefault="0027137A" w:rsidP="0027137A"/>
    <w:tbl>
      <w:tblPr>
        <w:tblStyle w:val="TableGrid62"/>
        <w:tblW w:w="9075" w:type="dxa"/>
        <w:tblLayout w:type="fixed"/>
        <w:tblLook w:val="04A0" w:firstRow="1" w:lastRow="0" w:firstColumn="1" w:lastColumn="0" w:noHBand="0" w:noVBand="1"/>
      </w:tblPr>
      <w:tblGrid>
        <w:gridCol w:w="2578"/>
        <w:gridCol w:w="10"/>
        <w:gridCol w:w="2563"/>
        <w:gridCol w:w="1761"/>
        <w:gridCol w:w="709"/>
        <w:gridCol w:w="709"/>
        <w:gridCol w:w="745"/>
      </w:tblGrid>
      <w:tr w:rsidR="0027137A" w:rsidRPr="003334C7" w:rsidTr="00292336">
        <w:tc>
          <w:tcPr>
            <w:tcW w:w="2588" w:type="dxa"/>
            <w:gridSpan w:val="2"/>
            <w:shd w:val="clear" w:color="auto" w:fill="000000" w:themeFill="text1"/>
          </w:tcPr>
          <w:p w:rsidR="0027137A" w:rsidRPr="003334C7" w:rsidRDefault="0027137A" w:rsidP="00292336">
            <w:pPr>
              <w:jc w:val="center"/>
              <w:rPr>
                <w:rFonts w:asciiTheme="minorHAnsi" w:hAnsiTheme="minorHAnsi"/>
                <w:b/>
                <w:sz w:val="20"/>
              </w:rPr>
            </w:pPr>
            <w:r w:rsidRPr="003334C7">
              <w:rPr>
                <w:rFonts w:asciiTheme="minorHAnsi" w:hAnsiTheme="minorHAnsi"/>
                <w:b/>
                <w:sz w:val="20"/>
              </w:rPr>
              <w:t>Sustainability Appraisal Indicator</w:t>
            </w:r>
          </w:p>
        </w:tc>
        <w:tc>
          <w:tcPr>
            <w:tcW w:w="2563" w:type="dxa"/>
            <w:shd w:val="clear" w:color="auto" w:fill="000000" w:themeFill="text1"/>
          </w:tcPr>
          <w:p w:rsidR="0027137A" w:rsidRPr="003334C7" w:rsidRDefault="0027137A" w:rsidP="00292336">
            <w:pPr>
              <w:jc w:val="center"/>
              <w:rPr>
                <w:rFonts w:asciiTheme="minorHAnsi" w:hAnsiTheme="minorHAnsi"/>
                <w:b/>
                <w:sz w:val="20"/>
              </w:rPr>
            </w:pPr>
            <w:r w:rsidRPr="003334C7">
              <w:rPr>
                <w:rFonts w:asciiTheme="minorHAnsi" w:hAnsiTheme="minorHAnsi"/>
                <w:b/>
                <w:sz w:val="20"/>
              </w:rPr>
              <w:t>Sustainability Appraisal Target</w:t>
            </w:r>
          </w:p>
        </w:tc>
        <w:tc>
          <w:tcPr>
            <w:tcW w:w="3924" w:type="dxa"/>
            <w:gridSpan w:val="4"/>
            <w:shd w:val="clear" w:color="auto" w:fill="000000" w:themeFill="text1"/>
          </w:tcPr>
          <w:p w:rsidR="0027137A" w:rsidRPr="003334C7" w:rsidRDefault="0027137A" w:rsidP="00292336">
            <w:pPr>
              <w:jc w:val="center"/>
              <w:rPr>
                <w:rFonts w:asciiTheme="minorHAnsi" w:hAnsiTheme="minorHAnsi"/>
                <w:b/>
                <w:sz w:val="20"/>
              </w:rPr>
            </w:pPr>
            <w:r w:rsidRPr="003334C7">
              <w:rPr>
                <w:rFonts w:asciiTheme="minorHAnsi" w:hAnsiTheme="minorHAnsi"/>
                <w:b/>
                <w:sz w:val="20"/>
              </w:rPr>
              <w:t xml:space="preserve">Monitoring Information </w:t>
            </w:r>
          </w:p>
          <w:p w:rsidR="0027137A" w:rsidRPr="003334C7" w:rsidRDefault="0027137A" w:rsidP="00292336">
            <w:pPr>
              <w:jc w:val="center"/>
              <w:rPr>
                <w:rFonts w:asciiTheme="minorHAnsi" w:hAnsiTheme="minorHAnsi"/>
                <w:b/>
                <w:sz w:val="20"/>
              </w:rPr>
            </w:pPr>
            <w:r w:rsidRPr="003334C7">
              <w:rPr>
                <w:rFonts w:asciiTheme="minorHAnsi" w:hAnsiTheme="minorHAnsi"/>
                <w:b/>
                <w:sz w:val="20"/>
              </w:rPr>
              <w:t>2014/15</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Population</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asciiTheme="minorHAnsi" w:hAnsiTheme="minorHAnsi"/>
                <w:sz w:val="20"/>
              </w:rPr>
              <w:t>Total no. residents</w:t>
            </w:r>
          </w:p>
        </w:tc>
        <w:tc>
          <w:tcPr>
            <w:tcW w:w="2563" w:type="dxa"/>
          </w:tcPr>
          <w:p w:rsidR="0027137A" w:rsidRPr="003334C7" w:rsidRDefault="0027137A" w:rsidP="00292336">
            <w:pPr>
              <w:rPr>
                <w:rFonts w:asciiTheme="minorHAnsi" w:hAnsiTheme="minorHAnsi"/>
                <w:sz w:val="20"/>
              </w:rPr>
            </w:pPr>
            <w:r w:rsidRPr="003334C7">
              <w:rPr>
                <w:rFonts w:asciiTheme="minorHAnsi" w:hAnsiTheme="minorHAnsi"/>
                <w:sz w:val="20"/>
              </w:rPr>
              <w:t>N/A</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Strong and Active Communities</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asciiTheme="minorHAnsi" w:hAnsiTheme="minorHAnsi"/>
                <w:sz w:val="20"/>
              </w:rPr>
              <w:t>No. students</w:t>
            </w:r>
          </w:p>
        </w:tc>
        <w:tc>
          <w:tcPr>
            <w:tcW w:w="2563" w:type="dxa"/>
          </w:tcPr>
          <w:p w:rsidR="0027137A" w:rsidRPr="003334C7" w:rsidRDefault="0027137A" w:rsidP="00292336">
            <w:pPr>
              <w:rPr>
                <w:rFonts w:asciiTheme="minorHAnsi" w:hAnsiTheme="minorHAnsi"/>
                <w:sz w:val="20"/>
              </w:rPr>
            </w:pPr>
            <w:r w:rsidRPr="003334C7">
              <w:rPr>
                <w:rFonts w:asciiTheme="minorHAnsi" w:hAnsiTheme="minorHAnsi"/>
                <w:sz w:val="20"/>
              </w:rPr>
              <w:t>N/A</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Indicator </w:t>
            </w:r>
            <w:r w:rsidRPr="003334C7">
              <w:rPr>
                <w:sz w:val="21"/>
                <w:szCs w:val="21"/>
              </w:rPr>
              <w:t>17</w:t>
            </w:r>
            <w:r w:rsidRPr="003334C7">
              <w:rPr>
                <w:rFonts w:asciiTheme="minorHAnsi" w:hAnsiTheme="minorHAnsi"/>
                <w:sz w:val="20"/>
              </w:rPr>
              <w:t>: Students and purpose-built student accommodation</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Flooding</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asciiTheme="minorHAnsi" w:hAnsiTheme="minorHAnsi"/>
                <w:sz w:val="20"/>
              </w:rPr>
              <w:t>Permissions contrary to Environment Agency advice</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0% approved contrary to formal objection</w:t>
            </w:r>
          </w:p>
        </w:tc>
        <w:tc>
          <w:tcPr>
            <w:tcW w:w="3924" w:type="dxa"/>
            <w:gridSpan w:val="4"/>
          </w:tcPr>
          <w:p w:rsidR="0027137A" w:rsidRPr="003334C7" w:rsidRDefault="0027137A" w:rsidP="00292336">
            <w:pPr>
              <w:rPr>
                <w:rFonts w:asciiTheme="minorHAnsi" w:hAnsiTheme="minorHAnsi" w:cstheme="minorHAnsi"/>
                <w:sz w:val="20"/>
              </w:rPr>
            </w:pPr>
            <w:r w:rsidRPr="003334C7">
              <w:rPr>
                <w:rFonts w:asciiTheme="minorHAnsi" w:eastAsia="Times New Roman" w:hAnsiTheme="minorHAnsi" w:cstheme="minorHAnsi"/>
                <w:sz w:val="20"/>
              </w:rPr>
              <w:t>N/A - Monitoring target no longer relevant.</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asciiTheme="minorHAnsi" w:hAnsiTheme="minorHAnsi"/>
                <w:sz w:val="20"/>
              </w:rPr>
              <w:t>% developments accompanied by flood risk assessments</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100% of developments of 1ha in flood zone 1</w:t>
            </w:r>
          </w:p>
          <w:p w:rsidR="0027137A" w:rsidRPr="003334C7" w:rsidRDefault="0027137A" w:rsidP="00292336">
            <w:pPr>
              <w:rPr>
                <w:rFonts w:asciiTheme="minorHAnsi" w:hAnsiTheme="minorHAnsi"/>
                <w:sz w:val="20"/>
              </w:rPr>
            </w:pPr>
            <w:r w:rsidRPr="003334C7">
              <w:rPr>
                <w:rFonts w:eastAsia="Calibri" w:cs="Times New Roman"/>
                <w:sz w:val="20"/>
              </w:rPr>
              <w:t>100% of developments in flood zone 2 or above</w:t>
            </w:r>
          </w:p>
        </w:tc>
        <w:tc>
          <w:tcPr>
            <w:tcW w:w="3924" w:type="dxa"/>
            <w:gridSpan w:val="4"/>
          </w:tcPr>
          <w:p w:rsidR="0027137A" w:rsidRPr="003334C7" w:rsidRDefault="0027137A" w:rsidP="00292336">
            <w:pPr>
              <w:rPr>
                <w:rFonts w:asciiTheme="minorHAnsi" w:hAnsiTheme="minorHAnsi" w:cstheme="minorHAnsi"/>
                <w:sz w:val="20"/>
              </w:rPr>
            </w:pPr>
            <w:r w:rsidRPr="003334C7">
              <w:rPr>
                <w:rFonts w:asciiTheme="minorHAnsi" w:eastAsia="Times New Roman" w:hAnsiTheme="minorHAnsi" w:cstheme="minorHAnsi"/>
                <w:sz w:val="20"/>
              </w:rPr>
              <w:t xml:space="preserve">This is a national validation requirement. Planning applications are not validated if they do not meet these requirements. </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Housing</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Total no. of net additional dwellings in Oxford</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Relative to 2006/07:</w:t>
            </w:r>
          </w:p>
          <w:p w:rsidR="0027137A" w:rsidRPr="003334C7" w:rsidRDefault="0027137A" w:rsidP="00292336">
            <w:pPr>
              <w:rPr>
                <w:rFonts w:eastAsia="Calibri" w:cs="Times New Roman"/>
                <w:color w:val="3366FF"/>
                <w:sz w:val="20"/>
                <w:u w:val="single"/>
              </w:rPr>
            </w:pPr>
            <w:r w:rsidRPr="003334C7">
              <w:rPr>
                <w:rFonts w:eastAsia="Calibri" w:cs="Times New Roman"/>
                <w:sz w:val="20"/>
              </w:rPr>
              <w:t>5,692 by 31 March 2016</w:t>
            </w:r>
          </w:p>
          <w:p w:rsidR="0027137A" w:rsidRPr="003334C7" w:rsidRDefault="0027137A" w:rsidP="00292336">
            <w:pPr>
              <w:rPr>
                <w:rFonts w:asciiTheme="minorHAnsi" w:hAnsiTheme="minorHAnsi"/>
                <w:sz w:val="20"/>
              </w:rPr>
            </w:pPr>
            <w:r w:rsidRPr="003334C7">
              <w:rPr>
                <w:rFonts w:eastAsia="Calibri" w:cs="Times New Roman"/>
                <w:sz w:val="20"/>
              </w:rPr>
              <w:t>8,000 by 31 March 2026</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Indicator </w:t>
            </w:r>
            <w:r w:rsidRPr="003334C7">
              <w:rPr>
                <w:sz w:val="21"/>
                <w:szCs w:val="21"/>
              </w:rPr>
              <w:t>7</w:t>
            </w:r>
            <w:r w:rsidRPr="003334C7">
              <w:rPr>
                <w:rFonts w:asciiTheme="minorHAnsi" w:hAnsiTheme="minorHAnsi"/>
                <w:sz w:val="20"/>
              </w:rPr>
              <w:t>: Housing trajectory</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No. students living outside university accommodation</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All increase in student numbers to be met by increase in purpose-built student accommodation</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Indicator </w:t>
            </w:r>
            <w:r w:rsidRPr="003334C7">
              <w:rPr>
                <w:sz w:val="21"/>
                <w:szCs w:val="21"/>
              </w:rPr>
              <w:t>17</w:t>
            </w:r>
            <w:r w:rsidRPr="003334C7">
              <w:rPr>
                <w:rFonts w:asciiTheme="minorHAnsi" w:hAnsiTheme="minorHAnsi"/>
                <w:sz w:val="20"/>
              </w:rPr>
              <w:t>: Students and purpose-built student accommodation</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Mix of housing completed by house size</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95% of schemes to comply with Balance of Dwellings SPD</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Indicator </w:t>
            </w:r>
            <w:r w:rsidRPr="003334C7">
              <w:rPr>
                <w:sz w:val="21"/>
                <w:szCs w:val="21"/>
              </w:rPr>
              <w:t>15</w:t>
            </w:r>
            <w:r w:rsidRPr="003334C7">
              <w:rPr>
                <w:rFonts w:asciiTheme="minorHAnsi" w:hAnsiTheme="minorHAnsi"/>
                <w:sz w:val="20"/>
              </w:rPr>
              <w:t>: Mix of housing (Dwelling Size)</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 xml:space="preserve">Improve standard of housing </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100% of homes in regeneration areas exceed Decent Homes Standard by 2010</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All 7,900 council homes met the Decent Homes Standard by December 2010. </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 of new-build housing on qualifying sites achieving Building for Life criteria (CS18)</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95% to achieve level 14 or above</w:t>
            </w:r>
          </w:p>
          <w:p w:rsidR="0027137A" w:rsidRPr="003334C7" w:rsidRDefault="0027137A" w:rsidP="00292336">
            <w:pPr>
              <w:rPr>
                <w:rFonts w:asciiTheme="minorHAnsi" w:hAnsiTheme="minorHAnsi"/>
                <w:sz w:val="20"/>
              </w:rPr>
            </w:pP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szCs w:val="20"/>
              </w:rPr>
              <w:t>See CS18 monitoring</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eastAsia="Calibri" w:cs="Times New Roman"/>
                <w:b/>
                <w:sz w:val="20"/>
              </w:rPr>
              <w:t>Urban renaissance / health / education / crime / vibrant communities / access to essential services and facilities / access to culture, leisure and recreation</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Publicly accessible open space, outdoor sports and recreation facilities</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5.75 hectares of public open space per 1,000 residents</w:t>
            </w:r>
          </w:p>
          <w:p w:rsidR="0027137A" w:rsidRPr="003334C7" w:rsidRDefault="0027137A" w:rsidP="00292336">
            <w:pPr>
              <w:rPr>
                <w:rFonts w:asciiTheme="minorHAnsi" w:hAnsiTheme="minorHAnsi"/>
                <w:sz w:val="20"/>
              </w:rPr>
            </w:pPr>
          </w:p>
        </w:tc>
        <w:tc>
          <w:tcPr>
            <w:tcW w:w="3924" w:type="dxa"/>
            <w:gridSpan w:val="4"/>
          </w:tcPr>
          <w:p w:rsidR="0027137A" w:rsidRPr="003334C7" w:rsidRDefault="0027137A" w:rsidP="00292336">
            <w:pPr>
              <w:rPr>
                <w:rFonts w:asciiTheme="minorHAnsi" w:hAnsiTheme="minorHAnsi"/>
                <w:sz w:val="20"/>
              </w:rPr>
            </w:pPr>
            <w:r w:rsidRPr="003334C7">
              <w:rPr>
                <w:rFonts w:eastAsia="Calibri" w:cs="Times New Roman"/>
                <w:sz w:val="20"/>
              </w:rPr>
              <w:t>The Council’s Green Spaces Strategy was updated in 2012. It was found that a standard linked to population was no longer appropriate. The Green Space Strategy 2013-2027 instead focuses on protecting and enhancing existing green space and ensuring that new developments contribute to the provision of high-quality, multi-functional green space where it is required most.</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Quality of existing green spaces</w:t>
            </w:r>
          </w:p>
        </w:tc>
        <w:tc>
          <w:tcPr>
            <w:tcW w:w="2563" w:type="dxa"/>
          </w:tcPr>
          <w:p w:rsidR="0027137A" w:rsidRPr="003334C7" w:rsidRDefault="0027137A" w:rsidP="00292336">
            <w:pPr>
              <w:rPr>
                <w:rFonts w:asciiTheme="minorHAnsi" w:hAnsiTheme="minorHAnsi"/>
                <w:sz w:val="20"/>
              </w:rPr>
            </w:pPr>
            <w:r w:rsidRPr="003334C7">
              <w:rPr>
                <w:rFonts w:eastAsia="Calibri" w:cs="Calibri"/>
                <w:sz w:val="20"/>
              </w:rPr>
              <w:t xml:space="preserve">Renew and increase Green Flag status for Oxford’s parks </w:t>
            </w:r>
          </w:p>
        </w:tc>
        <w:tc>
          <w:tcPr>
            <w:tcW w:w="3924" w:type="dxa"/>
            <w:gridSpan w:val="4"/>
          </w:tcPr>
          <w:p w:rsidR="0027137A" w:rsidRPr="003334C7" w:rsidRDefault="0027137A" w:rsidP="00292336">
            <w:pPr>
              <w:rPr>
                <w:rFonts w:asciiTheme="minorHAnsi" w:hAnsiTheme="minorHAnsi" w:cstheme="minorHAnsi"/>
                <w:sz w:val="20"/>
              </w:rPr>
            </w:pPr>
            <w:r w:rsidRPr="003334C7">
              <w:rPr>
                <w:rFonts w:asciiTheme="minorHAnsi" w:hAnsiTheme="minorHAnsi" w:cstheme="minorHAnsi"/>
                <w:sz w:val="20"/>
              </w:rPr>
              <w:t>A Clean and Green Oxford</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Access to community facilities</w:t>
            </w:r>
          </w:p>
        </w:tc>
        <w:tc>
          <w:tcPr>
            <w:tcW w:w="2563" w:type="dxa"/>
          </w:tcPr>
          <w:p w:rsidR="0027137A" w:rsidRPr="003334C7" w:rsidRDefault="0027137A" w:rsidP="00292336">
            <w:pPr>
              <w:rPr>
                <w:rFonts w:asciiTheme="minorHAnsi" w:hAnsiTheme="minorHAnsi"/>
                <w:sz w:val="20"/>
              </w:rPr>
            </w:pPr>
            <w:r w:rsidRPr="003334C7">
              <w:rPr>
                <w:rFonts w:eastAsia="Calibri" w:cs="Calibri"/>
                <w:sz w:val="20"/>
              </w:rPr>
              <w:t xml:space="preserve">100% of developments that result in the loss of a community facility to make equivalent alternative provision or improvements to existing provision (unless the existing use is and will </w:t>
            </w:r>
            <w:r w:rsidRPr="003334C7">
              <w:rPr>
                <w:rFonts w:eastAsia="Calibri" w:cs="Calibri"/>
                <w:sz w:val="20"/>
              </w:rPr>
              <w:lastRenderedPageBreak/>
              <w:t>continue to be redundant)</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lastRenderedPageBreak/>
              <w:t xml:space="preserve">In 2016 permission was granted to 2 developments that result in the loss a public house (16/03108/RES and 16/00129/FUL). Both applications met the policy requirements to demonstrate that marketing had been carried out and the pub was no longer viable, and that other facilities existed </w:t>
            </w:r>
            <w:r w:rsidRPr="003334C7">
              <w:rPr>
                <w:rFonts w:asciiTheme="minorHAnsi" w:hAnsiTheme="minorHAnsi"/>
                <w:sz w:val="20"/>
              </w:rPr>
              <w:lastRenderedPageBreak/>
              <w:t xml:space="preserve">within a reasonable distance. In the case of 16/03108/RES, the Jack Russell Pub had not been used as a pub for more than 2 years, and in that time had been subject to an arson attack; 50% of the 16 proposed flats replacing the pub will be affordable. </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lastRenderedPageBreak/>
              <w:t>Index of health deprivation for Oxford’s ‘super output areas’</w:t>
            </w:r>
          </w:p>
        </w:tc>
        <w:tc>
          <w:tcPr>
            <w:tcW w:w="2563" w:type="dxa"/>
            <w:shd w:val="clear" w:color="auto" w:fill="auto"/>
          </w:tcPr>
          <w:p w:rsidR="0027137A" w:rsidRPr="003334C7" w:rsidRDefault="0027137A" w:rsidP="00292336">
            <w:pPr>
              <w:rPr>
                <w:rFonts w:asciiTheme="minorHAnsi" w:hAnsiTheme="minorHAnsi"/>
                <w:sz w:val="20"/>
              </w:rPr>
            </w:pPr>
            <w:r w:rsidRPr="003334C7">
              <w:rPr>
                <w:rFonts w:eastAsia="Calibri" w:cs="Times New Roman"/>
                <w:sz w:val="20"/>
              </w:rPr>
              <w:t>Improve ranking, particularly of Carfax</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Strong and Active Communities</w:t>
            </w:r>
          </w:p>
          <w:p w:rsidR="0027137A" w:rsidRPr="003334C7" w:rsidRDefault="0027137A" w:rsidP="00292336">
            <w:pPr>
              <w:rPr>
                <w:rFonts w:asciiTheme="minorHAnsi" w:hAnsiTheme="minorHAnsi"/>
                <w:sz w:val="20"/>
              </w:rPr>
            </w:pP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Density of residential development</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City and district centres to deliver higher density residential development than within the wider district area</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This is difficult to monitor on an annual basis as we receive very few major residential applications (10+ dwellings) where a density calculation would be appropriate. It is instead more useful to monitor longer term trends.</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Provision and improvement of local primary healthcare facilities</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As per CS15 monitoring</w:t>
            </w:r>
          </w:p>
        </w:tc>
        <w:tc>
          <w:tcPr>
            <w:tcW w:w="3924" w:type="dxa"/>
            <w:gridSpan w:val="4"/>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22</w:t>
            </w:r>
            <w:r w:rsidRPr="003334C7">
              <w:rPr>
                <w:rFonts w:asciiTheme="minorHAnsi" w:hAnsiTheme="minorHAnsi"/>
                <w:sz w:val="20"/>
                <w:szCs w:val="20"/>
              </w:rPr>
              <w:t xml:space="preserve">: West End Area Action Plan </w:t>
            </w:r>
          </w:p>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23</w:t>
            </w:r>
            <w:r w:rsidRPr="003334C7">
              <w:rPr>
                <w:rFonts w:asciiTheme="minorHAnsi" w:hAnsiTheme="minorHAnsi"/>
                <w:sz w:val="20"/>
                <w:szCs w:val="20"/>
              </w:rPr>
              <w:t>: Barton Area Action Plan</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Provision and improvement of local educational facilities</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As per CS16 monitoring</w:t>
            </w:r>
          </w:p>
        </w:tc>
        <w:tc>
          <w:tcPr>
            <w:tcW w:w="3924" w:type="dxa"/>
            <w:gridSpan w:val="4"/>
          </w:tcPr>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23</w:t>
            </w:r>
            <w:r w:rsidRPr="003334C7">
              <w:rPr>
                <w:rFonts w:asciiTheme="minorHAnsi" w:hAnsiTheme="minorHAnsi"/>
                <w:sz w:val="20"/>
                <w:szCs w:val="20"/>
              </w:rPr>
              <w:t>: Barton Area Action Plan</w:t>
            </w:r>
          </w:p>
          <w:p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21</w:t>
            </w:r>
            <w:r w:rsidRPr="003334C7">
              <w:rPr>
                <w:rFonts w:asciiTheme="minorHAnsi" w:hAnsiTheme="minorHAnsi"/>
                <w:sz w:val="20"/>
                <w:szCs w:val="20"/>
              </w:rPr>
              <w:t>: Regeneration areas</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Provision of other social infrastructure</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Multi-agency delivery means there is no one target.</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No specific monitoring target.</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 xml:space="preserve">% of new developments that comply with ‘Secured by Design’ </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100% (i.e. 0% of planning permissions approved contrary to Thames Valley Police Objection)</w:t>
            </w:r>
          </w:p>
          <w:p w:rsidR="0027137A" w:rsidRPr="003334C7" w:rsidRDefault="0027137A" w:rsidP="00292336">
            <w:pPr>
              <w:rPr>
                <w:rFonts w:asciiTheme="minorHAnsi" w:hAnsiTheme="minorHAnsi"/>
                <w:sz w:val="20"/>
              </w:rPr>
            </w:pP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N/A – Monitoring target no longer relevant.</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Poverty / regeneration areas</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 affordable housing completions</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 xml:space="preserve">50% on qualifying sites </w:t>
            </w:r>
          </w:p>
          <w:p w:rsidR="0027137A" w:rsidRPr="003334C7" w:rsidRDefault="0027137A" w:rsidP="00292336">
            <w:pPr>
              <w:rPr>
                <w:rFonts w:eastAsia="Calibri" w:cs="Times New Roman"/>
                <w:sz w:val="20"/>
              </w:rPr>
            </w:pPr>
            <w:r w:rsidRPr="003334C7">
              <w:rPr>
                <w:rFonts w:eastAsia="Calibri" w:cs="Times New Roman"/>
                <w:sz w:val="20"/>
              </w:rPr>
              <w:t>150 per year 2008-10</w:t>
            </w:r>
          </w:p>
          <w:p w:rsidR="0027137A" w:rsidRPr="003334C7" w:rsidRDefault="0027137A" w:rsidP="00292336">
            <w:pPr>
              <w:rPr>
                <w:rFonts w:asciiTheme="minorHAnsi" w:hAnsiTheme="minorHAnsi"/>
                <w:sz w:val="20"/>
              </w:rPr>
            </w:pPr>
            <w:r w:rsidRPr="003334C7">
              <w:rPr>
                <w:rFonts w:eastAsia="Calibri" w:cs="Times New Roman"/>
                <w:sz w:val="20"/>
              </w:rPr>
              <w:t>200 per year 2010-12</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8: Affordable housing completions</w:t>
            </w:r>
          </w:p>
          <w:p w:rsidR="0027137A" w:rsidRPr="003334C7" w:rsidRDefault="0027137A" w:rsidP="00292336">
            <w:pPr>
              <w:rPr>
                <w:rFonts w:asciiTheme="minorHAnsi" w:hAnsiTheme="minorHAnsi"/>
                <w:sz w:val="20"/>
              </w:rPr>
            </w:pPr>
            <w:r w:rsidRPr="003334C7">
              <w:rPr>
                <w:rFonts w:asciiTheme="minorHAnsi" w:hAnsiTheme="minorHAnsi"/>
                <w:sz w:val="20"/>
              </w:rPr>
              <w:t>Indicator 10: Proportion of affordable housing where there is a policy requirement</w:t>
            </w:r>
          </w:p>
        </w:tc>
      </w:tr>
      <w:tr w:rsidR="0027137A" w:rsidRPr="003334C7" w:rsidTr="00292336">
        <w:tc>
          <w:tcPr>
            <w:tcW w:w="2588" w:type="dxa"/>
            <w:gridSpan w:val="2"/>
            <w:shd w:val="clear" w:color="auto" w:fill="auto"/>
          </w:tcPr>
          <w:p w:rsidR="0027137A" w:rsidRPr="003334C7" w:rsidRDefault="0027137A" w:rsidP="00292336">
            <w:pPr>
              <w:rPr>
                <w:rFonts w:asciiTheme="minorHAnsi" w:hAnsiTheme="minorHAnsi"/>
                <w:sz w:val="20"/>
              </w:rPr>
            </w:pPr>
            <w:r w:rsidRPr="003334C7">
              <w:rPr>
                <w:rFonts w:eastAsia="Calibri" w:cs="Times New Roman"/>
                <w:sz w:val="20"/>
              </w:rPr>
              <w:t>Extent of deprivation in Oxford relative to all areas nationally</w:t>
            </w:r>
          </w:p>
        </w:tc>
        <w:tc>
          <w:tcPr>
            <w:tcW w:w="2563" w:type="dxa"/>
            <w:shd w:val="clear" w:color="auto" w:fill="auto"/>
          </w:tcPr>
          <w:p w:rsidR="0027137A" w:rsidRPr="003334C7" w:rsidRDefault="0027137A" w:rsidP="00292336">
            <w:pPr>
              <w:rPr>
                <w:rFonts w:asciiTheme="minorHAnsi" w:hAnsiTheme="minorHAnsi"/>
                <w:sz w:val="20"/>
              </w:rPr>
            </w:pPr>
            <w:r w:rsidRPr="003334C7">
              <w:rPr>
                <w:rFonts w:eastAsia="Calibri" w:cs="Times New Roman"/>
                <w:sz w:val="20"/>
              </w:rPr>
              <w:t>Reduce number of super output areas in Oxford in the 20% most deprived in England</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Indicator 21: Regeneration areas</w:t>
            </w:r>
          </w:p>
        </w:tc>
      </w:tr>
      <w:tr w:rsidR="0027137A" w:rsidRPr="003334C7" w:rsidTr="00292336">
        <w:tc>
          <w:tcPr>
            <w:tcW w:w="2588" w:type="dxa"/>
            <w:gridSpan w:val="2"/>
            <w:shd w:val="clear" w:color="auto" w:fill="auto"/>
          </w:tcPr>
          <w:p w:rsidR="0027137A" w:rsidRPr="003334C7" w:rsidRDefault="0027137A" w:rsidP="00292336">
            <w:pPr>
              <w:rPr>
                <w:rFonts w:asciiTheme="minorHAnsi" w:hAnsiTheme="minorHAnsi"/>
                <w:sz w:val="20"/>
              </w:rPr>
            </w:pPr>
            <w:r w:rsidRPr="003334C7">
              <w:rPr>
                <w:rFonts w:eastAsia="Calibri" w:cs="Times New Roman"/>
                <w:sz w:val="20"/>
              </w:rPr>
              <w:t>No. households living in temporary accommodation</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698 in 2008/09</w:t>
            </w:r>
          </w:p>
          <w:p w:rsidR="0027137A" w:rsidRPr="003334C7" w:rsidRDefault="0027137A" w:rsidP="00292336">
            <w:pPr>
              <w:rPr>
                <w:rFonts w:eastAsia="Calibri" w:cs="Times New Roman"/>
                <w:sz w:val="20"/>
              </w:rPr>
            </w:pPr>
            <w:r w:rsidRPr="003334C7">
              <w:rPr>
                <w:rFonts w:eastAsia="Calibri" w:cs="Times New Roman"/>
                <w:sz w:val="20"/>
              </w:rPr>
              <w:t>577 in 2009/10</w:t>
            </w:r>
          </w:p>
          <w:p w:rsidR="0027137A" w:rsidRPr="003334C7" w:rsidRDefault="0027137A" w:rsidP="00292336">
            <w:pPr>
              <w:rPr>
                <w:rFonts w:asciiTheme="minorHAnsi" w:hAnsiTheme="minorHAnsi"/>
                <w:sz w:val="20"/>
              </w:rPr>
            </w:pPr>
            <w:r w:rsidRPr="003334C7">
              <w:rPr>
                <w:rFonts w:eastAsia="Calibri" w:cs="Times New Roman"/>
                <w:sz w:val="20"/>
              </w:rPr>
              <w:t>536 in 2010/11</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Meeting Housing Needs </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Timely progress of a regeneration plan for each of the regeneration areas in conjunction with other departments</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Timetable to be agreed corporately</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21: Regeneration areas</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 xml:space="preserve">NOx levels in Oxford, particularly at </w:t>
            </w:r>
            <w:proofErr w:type="spellStart"/>
            <w:r w:rsidRPr="003334C7">
              <w:rPr>
                <w:rFonts w:eastAsia="Calibri" w:cs="Times New Roman"/>
                <w:sz w:val="20"/>
              </w:rPr>
              <w:t>Binsey</w:t>
            </w:r>
            <w:proofErr w:type="spellEnd"/>
            <w:r w:rsidRPr="003334C7">
              <w:rPr>
                <w:rFonts w:eastAsia="Calibri" w:cs="Times New Roman"/>
                <w:sz w:val="20"/>
              </w:rPr>
              <w:t xml:space="preserve"> and at Oxford Meadows SAC near the A34</w:t>
            </w:r>
          </w:p>
        </w:tc>
        <w:tc>
          <w:tcPr>
            <w:tcW w:w="2563" w:type="dxa"/>
          </w:tcPr>
          <w:p w:rsidR="0027137A" w:rsidRPr="003334C7" w:rsidRDefault="0027137A" w:rsidP="00292336">
            <w:pPr>
              <w:rPr>
                <w:rFonts w:asciiTheme="minorHAnsi" w:hAnsiTheme="minorHAnsi"/>
                <w:sz w:val="20"/>
              </w:rPr>
            </w:pPr>
            <w:r w:rsidRPr="003334C7">
              <w:rPr>
                <w:rFonts w:eastAsia="Calibri" w:cs="Times New Roman"/>
                <w:sz w:val="20"/>
              </w:rPr>
              <w:t>Progressive decrease in NOx, NO and ozone levels</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See the </w:t>
            </w:r>
            <w:hyperlink r:id="rId34" w:history="1">
              <w:r w:rsidRPr="003334C7">
                <w:rPr>
                  <w:rFonts w:asciiTheme="minorHAnsi" w:hAnsiTheme="minorHAnsi"/>
                  <w:color w:val="0000FF" w:themeColor="hyperlink"/>
                  <w:sz w:val="20"/>
                  <w:u w:val="single"/>
                </w:rPr>
                <w:t>Oxford City Council Air Quality Annual Status Report 2016</w:t>
              </w:r>
            </w:hyperlink>
            <w:r w:rsidRPr="003334C7">
              <w:rPr>
                <w:rFonts w:asciiTheme="minorHAnsi" w:hAnsiTheme="minorHAnsi"/>
                <w:sz w:val="20"/>
              </w:rPr>
              <w:t xml:space="preserve"> for most recent data. </w:t>
            </w:r>
          </w:p>
        </w:tc>
      </w:tr>
      <w:tr w:rsidR="0027137A" w:rsidRPr="003334C7" w:rsidTr="00292336">
        <w:tc>
          <w:tcPr>
            <w:tcW w:w="2588" w:type="dxa"/>
            <w:gridSpan w:val="2"/>
          </w:tcPr>
          <w:p w:rsidR="0027137A" w:rsidRPr="003334C7" w:rsidRDefault="0027137A" w:rsidP="00292336">
            <w:pPr>
              <w:rPr>
                <w:rFonts w:asciiTheme="minorHAnsi" w:hAnsiTheme="minorHAnsi"/>
                <w:sz w:val="20"/>
              </w:rPr>
            </w:pPr>
            <w:r w:rsidRPr="003334C7">
              <w:rPr>
                <w:rFonts w:eastAsia="Calibri" w:cs="Times New Roman"/>
                <w:sz w:val="20"/>
              </w:rPr>
              <w:t>Inner and outer cordon traffic counts</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Inner cordon: no growth</w:t>
            </w:r>
          </w:p>
          <w:p w:rsidR="0027137A" w:rsidRPr="003334C7" w:rsidRDefault="0027137A" w:rsidP="00292336">
            <w:pPr>
              <w:rPr>
                <w:rFonts w:asciiTheme="minorHAnsi" w:hAnsiTheme="minorHAnsi"/>
                <w:sz w:val="20"/>
              </w:rPr>
            </w:pPr>
            <w:r w:rsidRPr="003334C7">
              <w:rPr>
                <w:rFonts w:eastAsia="Calibri" w:cs="Times New Roman"/>
                <w:sz w:val="20"/>
              </w:rPr>
              <w:t>Outer cordon: no more than 0.2% average annual growth</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33: Traffic growth at inner and outer cordons</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 people travelling to work by private motor vehicle</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No increase in current level of 43.3%</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A Cleaner and Green Oxford </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Biodiversity</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 xml:space="preserve">Condition of Port Meadow SSSI; integrity of Oxford </w:t>
            </w:r>
            <w:r w:rsidRPr="003334C7">
              <w:rPr>
                <w:rFonts w:eastAsia="Calibri" w:cs="Times New Roman"/>
                <w:sz w:val="20"/>
              </w:rPr>
              <w:lastRenderedPageBreak/>
              <w:t>Meadows SAC</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lastRenderedPageBreak/>
              <w:t>N/A</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The most recent </w:t>
            </w:r>
            <w:hyperlink r:id="rId35" w:history="1">
              <w:r w:rsidRPr="003334C7">
                <w:rPr>
                  <w:rFonts w:asciiTheme="minorHAnsi" w:hAnsiTheme="minorHAnsi"/>
                  <w:color w:val="0000FF"/>
                  <w:sz w:val="20"/>
                  <w:u w:val="single"/>
                </w:rPr>
                <w:t>Natural England Assessment (06/07/10)</w:t>
              </w:r>
            </w:hyperlink>
            <w:r w:rsidRPr="003334C7">
              <w:rPr>
                <w:rFonts w:asciiTheme="minorHAnsi" w:hAnsiTheme="minorHAnsi"/>
                <w:sz w:val="20"/>
              </w:rPr>
              <w:t xml:space="preserve"> rated the condition of the Port </w:t>
            </w:r>
            <w:r w:rsidRPr="003334C7">
              <w:rPr>
                <w:rFonts w:asciiTheme="minorHAnsi" w:hAnsiTheme="minorHAnsi"/>
                <w:sz w:val="20"/>
              </w:rPr>
              <w:lastRenderedPageBreak/>
              <w:t xml:space="preserve">Meadow SSSI with </w:t>
            </w:r>
            <w:proofErr w:type="spellStart"/>
            <w:r w:rsidRPr="003334C7">
              <w:rPr>
                <w:rFonts w:asciiTheme="minorHAnsi" w:hAnsiTheme="minorHAnsi"/>
                <w:sz w:val="20"/>
              </w:rPr>
              <w:t>Wolvercote</w:t>
            </w:r>
            <w:proofErr w:type="spellEnd"/>
            <w:r w:rsidRPr="003334C7">
              <w:rPr>
                <w:rFonts w:asciiTheme="minorHAnsi" w:hAnsiTheme="minorHAnsi"/>
                <w:sz w:val="20"/>
              </w:rPr>
              <w:t xml:space="preserve"> Common as follows:</w:t>
            </w:r>
          </w:p>
          <w:p w:rsidR="0027137A" w:rsidRPr="003334C7" w:rsidRDefault="0027137A" w:rsidP="00292336">
            <w:pPr>
              <w:rPr>
                <w:rFonts w:asciiTheme="minorHAnsi" w:hAnsiTheme="minorHAnsi"/>
                <w:sz w:val="20"/>
              </w:rPr>
            </w:pPr>
            <w:r w:rsidRPr="003334C7">
              <w:rPr>
                <w:rFonts w:asciiTheme="minorHAnsi" w:hAnsiTheme="minorHAnsi"/>
                <w:sz w:val="20"/>
              </w:rPr>
              <w:t>Unit 001 – Favourable</w:t>
            </w:r>
          </w:p>
          <w:p w:rsidR="0027137A" w:rsidRPr="003334C7" w:rsidRDefault="0027137A" w:rsidP="00292336">
            <w:pPr>
              <w:rPr>
                <w:rFonts w:asciiTheme="minorHAnsi" w:hAnsiTheme="minorHAnsi"/>
                <w:sz w:val="20"/>
              </w:rPr>
            </w:pPr>
            <w:r w:rsidRPr="003334C7">
              <w:rPr>
                <w:rFonts w:asciiTheme="minorHAnsi" w:hAnsiTheme="minorHAnsi"/>
                <w:sz w:val="20"/>
              </w:rPr>
              <w:t xml:space="preserve">Unit 002 – Favourable </w:t>
            </w:r>
          </w:p>
          <w:p w:rsidR="0027137A" w:rsidRPr="003334C7" w:rsidRDefault="0027137A" w:rsidP="00292336">
            <w:pPr>
              <w:rPr>
                <w:rFonts w:asciiTheme="minorHAnsi" w:hAnsiTheme="minorHAnsi"/>
                <w:sz w:val="20"/>
              </w:rPr>
            </w:pPr>
            <w:r w:rsidRPr="003334C7">
              <w:rPr>
                <w:rFonts w:asciiTheme="minorHAnsi" w:hAnsiTheme="minorHAnsi"/>
                <w:sz w:val="20"/>
              </w:rPr>
              <w:t>Unit 003 – Unfavourable recovering</w:t>
            </w:r>
          </w:p>
          <w:p w:rsidR="0027137A" w:rsidRPr="003334C7" w:rsidRDefault="0027137A" w:rsidP="00292336">
            <w:pPr>
              <w:rPr>
                <w:rFonts w:asciiTheme="minorHAnsi" w:hAnsiTheme="minorHAnsi"/>
                <w:sz w:val="20"/>
              </w:rPr>
            </w:pPr>
            <w:r w:rsidRPr="003334C7">
              <w:rPr>
                <w:rFonts w:asciiTheme="minorHAnsi" w:hAnsiTheme="minorHAnsi"/>
                <w:sz w:val="20"/>
              </w:rPr>
              <w:t>Unit 004 – Favourable</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lastRenderedPageBreak/>
              <w:t>Change in populations of biodiversity importance</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 xml:space="preserve">No net reduction in BAP  priority habitats and species, i.e. 96 priority species, 326.7 hectares priority habitat </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Data maintained by </w:t>
            </w:r>
            <w:hyperlink r:id="rId36" w:history="1">
              <w:r w:rsidRPr="003334C7">
                <w:rPr>
                  <w:rFonts w:asciiTheme="minorHAnsi" w:hAnsiTheme="minorHAnsi"/>
                  <w:color w:val="0000FF"/>
                  <w:sz w:val="20"/>
                  <w:u w:val="single"/>
                </w:rPr>
                <w:t>Thames Valley Environmental Records Centre</w:t>
              </w:r>
            </w:hyperlink>
            <w:r w:rsidRPr="003334C7">
              <w:rPr>
                <w:rFonts w:asciiTheme="minorHAnsi" w:hAnsiTheme="minorHAnsi"/>
                <w:color w:val="0000FF"/>
                <w:sz w:val="20"/>
                <w:u w:val="single"/>
              </w:rPr>
              <w:t>.</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Change in areas of biodiversity importance</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No net reduction in:</w:t>
            </w:r>
          </w:p>
          <w:p w:rsidR="0027137A" w:rsidRPr="003334C7" w:rsidRDefault="0027137A" w:rsidP="00292336">
            <w:pPr>
              <w:rPr>
                <w:rFonts w:eastAsia="Calibri" w:cs="Times New Roman"/>
                <w:sz w:val="20"/>
              </w:rPr>
            </w:pPr>
            <w:r w:rsidRPr="003334C7">
              <w:rPr>
                <w:rFonts w:eastAsia="Calibri" w:cs="Times New Roman"/>
                <w:sz w:val="20"/>
              </w:rPr>
              <w:t>SAC (177.1ha); SSSI (278.2ha)</w:t>
            </w:r>
          </w:p>
          <w:p w:rsidR="0027137A" w:rsidRPr="003334C7" w:rsidRDefault="0027137A" w:rsidP="00292336">
            <w:pPr>
              <w:rPr>
                <w:rFonts w:eastAsia="Calibri" w:cs="Times New Roman"/>
                <w:sz w:val="20"/>
              </w:rPr>
            </w:pPr>
            <w:r w:rsidRPr="003334C7">
              <w:rPr>
                <w:rFonts w:eastAsia="Calibri" w:cs="Times New Roman"/>
                <w:sz w:val="20"/>
              </w:rPr>
              <w:t xml:space="preserve">CONS (63.5ha); SLINC (202.5ha); LNR (11.5ha, 3 sites); and RIGS (2ha). </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25: Changes in areas of biodiversity importance</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Countryside and historic environment</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No. heritage assets at risk</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 xml:space="preserve">No net increase from: </w:t>
            </w:r>
          </w:p>
          <w:p w:rsidR="0027137A" w:rsidRPr="003334C7" w:rsidRDefault="0027137A" w:rsidP="00292336">
            <w:pPr>
              <w:rPr>
                <w:rFonts w:eastAsia="Calibri" w:cs="Times New Roman"/>
                <w:sz w:val="20"/>
              </w:rPr>
            </w:pPr>
            <w:r w:rsidRPr="003334C7">
              <w:rPr>
                <w:rFonts w:eastAsia="Calibri" w:cs="Times New Roman"/>
                <w:sz w:val="20"/>
              </w:rPr>
              <w:t xml:space="preserve">Nil registered parks and gardens; Nil conservation areas; 1 listed </w:t>
            </w:r>
            <w:proofErr w:type="gramStart"/>
            <w:r w:rsidRPr="003334C7">
              <w:rPr>
                <w:rFonts w:eastAsia="Calibri" w:cs="Times New Roman"/>
                <w:sz w:val="20"/>
              </w:rPr>
              <w:t>buildings</w:t>
            </w:r>
            <w:proofErr w:type="gramEnd"/>
            <w:r w:rsidRPr="003334C7">
              <w:rPr>
                <w:rFonts w:eastAsia="Calibri" w:cs="Times New Roman"/>
                <w:sz w:val="20"/>
              </w:rPr>
              <w:t>; and 2 Scheduled monuments.</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28: Heritage assets at risk</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No. developments involving demolition or substantial demolition of a listed building, or of a building or structure that contributes to the character / appearance of a Conservation Area (when contrary to officer’s/English Heritage recommendation)</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Nil</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29: Applications involving the total, substantial or partial demolition of a listed building</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Development of a Heritage Plan for Oxford City</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Completion by 2015</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The Oxford Heritage Plan Framework was endorsed by the City Executive Board on </w:t>
            </w:r>
            <w:hyperlink r:id="rId37" w:history="1">
              <w:r w:rsidRPr="003334C7">
                <w:rPr>
                  <w:rFonts w:asciiTheme="minorHAnsi" w:hAnsiTheme="minorHAnsi"/>
                  <w:color w:val="0000FF"/>
                  <w:sz w:val="20"/>
                  <w:u w:val="single"/>
                </w:rPr>
                <w:t>2 April 2015</w:t>
              </w:r>
            </w:hyperlink>
            <w:r w:rsidRPr="003334C7">
              <w:rPr>
                <w:rFonts w:asciiTheme="minorHAnsi" w:hAnsiTheme="minorHAnsi"/>
                <w:sz w:val="20"/>
              </w:rPr>
              <w:t>.</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Length of footpaths,  bridleways and permissive rights of way per person</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No decrease</w:t>
            </w:r>
          </w:p>
          <w:p w:rsidR="0027137A" w:rsidRPr="003334C7" w:rsidRDefault="0027137A" w:rsidP="00292336">
            <w:pPr>
              <w:jc w:val="center"/>
              <w:rPr>
                <w:rFonts w:eastAsia="Calibri" w:cs="Times New Roman"/>
                <w:sz w:val="20"/>
              </w:rPr>
            </w:pP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Data maintained by </w:t>
            </w:r>
            <w:hyperlink r:id="rId38" w:history="1">
              <w:r w:rsidRPr="003334C7">
                <w:rPr>
                  <w:rFonts w:asciiTheme="minorHAnsi" w:hAnsiTheme="minorHAnsi"/>
                  <w:color w:val="0000FF"/>
                  <w:sz w:val="20"/>
                  <w:u w:val="single"/>
                </w:rPr>
                <w:t>Oxfordshire County Council</w:t>
              </w:r>
            </w:hyperlink>
            <w:r w:rsidRPr="003334C7">
              <w:rPr>
                <w:rFonts w:asciiTheme="minorHAnsi" w:hAnsiTheme="minorHAnsi"/>
                <w:color w:val="0000FF"/>
                <w:sz w:val="20"/>
                <w:u w:val="single"/>
              </w:rPr>
              <w:t>.</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Inappropriate development in the Green Belt</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None unless specifically allocated by the LDF</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27: Development in the Green Belt</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 of new dwelling completions on previously developed land</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2009/14: 90+%</w:t>
            </w:r>
          </w:p>
          <w:p w:rsidR="0027137A" w:rsidRPr="003334C7" w:rsidRDefault="0027137A" w:rsidP="00292336">
            <w:pPr>
              <w:rPr>
                <w:rFonts w:eastAsia="Calibri" w:cs="Times New Roman"/>
                <w:sz w:val="20"/>
              </w:rPr>
            </w:pPr>
            <w:r w:rsidRPr="003334C7">
              <w:rPr>
                <w:rFonts w:eastAsia="Calibri" w:cs="Times New Roman"/>
                <w:sz w:val="20"/>
              </w:rPr>
              <w:t>2014/26: 75+%</w:t>
            </w:r>
          </w:p>
          <w:p w:rsidR="0027137A" w:rsidRPr="003334C7" w:rsidRDefault="0027137A" w:rsidP="00292336">
            <w:pPr>
              <w:rPr>
                <w:rFonts w:eastAsia="Calibri" w:cs="Times New Roman"/>
                <w:sz w:val="20"/>
              </w:rPr>
            </w:pP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14: Residential development completed on previously developed land</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Employment developments on previously developed land</w:t>
            </w:r>
          </w:p>
        </w:tc>
        <w:tc>
          <w:tcPr>
            <w:tcW w:w="2563" w:type="dxa"/>
          </w:tcPr>
          <w:p w:rsidR="0027137A" w:rsidRPr="003334C7" w:rsidRDefault="0027137A" w:rsidP="00292336">
            <w:pPr>
              <w:rPr>
                <w:rFonts w:eastAsia="Calibri" w:cs="Times New Roman"/>
                <w:strike/>
                <w:sz w:val="20"/>
              </w:rPr>
            </w:pPr>
            <w:r w:rsidRPr="003334C7">
              <w:rPr>
                <w:rFonts w:eastAsia="Calibri" w:cs="Times New Roman"/>
                <w:sz w:val="20"/>
              </w:rPr>
              <w:t xml:space="preserve">No development on </w:t>
            </w:r>
          </w:p>
          <w:p w:rsidR="0027137A" w:rsidRPr="003334C7" w:rsidRDefault="0027137A" w:rsidP="00292336">
            <w:pPr>
              <w:rPr>
                <w:rFonts w:eastAsia="Calibri" w:cs="Times New Roman"/>
                <w:sz w:val="20"/>
              </w:rPr>
            </w:pPr>
            <w:r w:rsidRPr="003334C7">
              <w:rPr>
                <w:rFonts w:eastAsia="Calibri" w:cs="Times New Roman"/>
                <w:sz w:val="20"/>
              </w:rPr>
              <w:t>greenfield unless specifically allocated</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1: Employment development completed (by land type)</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Water use per person per day</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130 litres</w:t>
            </w:r>
          </w:p>
          <w:p w:rsidR="0027137A" w:rsidRPr="003334C7" w:rsidRDefault="0027137A" w:rsidP="00292336">
            <w:pPr>
              <w:rPr>
                <w:rFonts w:eastAsia="Calibri" w:cs="Times New Roman"/>
                <w:sz w:val="20"/>
              </w:rPr>
            </w:pPr>
            <w:r w:rsidRPr="003334C7">
              <w:rPr>
                <w:rFonts w:eastAsia="Calibri" w:cs="Times New Roman"/>
                <w:sz w:val="20"/>
              </w:rPr>
              <w:t>(from 164 litres in 2004)</w:t>
            </w:r>
          </w:p>
          <w:p w:rsidR="0027137A" w:rsidRPr="003334C7" w:rsidRDefault="0027137A" w:rsidP="00292336">
            <w:pPr>
              <w:rPr>
                <w:rFonts w:eastAsia="Calibri" w:cs="Times New Roman"/>
                <w:sz w:val="20"/>
              </w:rPr>
            </w:pP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129 litres (see </w:t>
            </w:r>
            <w:hyperlink r:id="rId39" w:history="1">
              <w:r w:rsidRPr="003334C7">
                <w:rPr>
                  <w:rFonts w:asciiTheme="minorHAnsi" w:hAnsiTheme="minorHAnsi"/>
                  <w:color w:val="0000FF" w:themeColor="hyperlink"/>
                  <w:sz w:val="20"/>
                  <w:u w:val="single"/>
                </w:rPr>
                <w:t>Oxford Sustainability Index Report 2016</w:t>
              </w:r>
            </w:hyperlink>
            <w:r w:rsidRPr="003334C7">
              <w:rPr>
                <w:rFonts w:asciiTheme="minorHAnsi" w:hAnsiTheme="minorHAnsi"/>
                <w:sz w:val="20"/>
              </w:rPr>
              <w:t>)</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Developments complying with NRIA requirements</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100% compliance</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26: Natural Resources Impact Analysis (NRIA)</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Average % energy produced by on-site renewables in new developments</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20% on-site renewable energy from qualifying sites throughout the plan period</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Indicator 26: Natural Resources Impact Analysis (NIRA)</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Residual waste per household</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2008/09 – 725kg</w:t>
            </w:r>
          </w:p>
          <w:p w:rsidR="0027137A" w:rsidRPr="003334C7" w:rsidRDefault="0027137A" w:rsidP="00292336">
            <w:pPr>
              <w:rPr>
                <w:rFonts w:eastAsia="Calibri" w:cs="Times New Roman"/>
                <w:sz w:val="20"/>
              </w:rPr>
            </w:pPr>
            <w:r w:rsidRPr="003334C7">
              <w:rPr>
                <w:rFonts w:eastAsia="Calibri" w:cs="Times New Roman"/>
                <w:sz w:val="20"/>
              </w:rPr>
              <w:t>2009/10 – 723 kg</w:t>
            </w:r>
          </w:p>
          <w:p w:rsidR="0027137A" w:rsidRPr="003334C7" w:rsidRDefault="0027137A" w:rsidP="00292336">
            <w:pPr>
              <w:rPr>
                <w:rFonts w:eastAsia="Calibri" w:cs="Times New Roman"/>
                <w:sz w:val="20"/>
              </w:rPr>
            </w:pPr>
            <w:r w:rsidRPr="003334C7">
              <w:rPr>
                <w:rFonts w:eastAsia="Calibri" w:cs="Times New Roman"/>
                <w:sz w:val="20"/>
              </w:rPr>
              <w:lastRenderedPageBreak/>
              <w:t>2010/11 – 715 kg</w:t>
            </w:r>
          </w:p>
        </w:tc>
        <w:tc>
          <w:tcPr>
            <w:tcW w:w="3924" w:type="dxa"/>
            <w:gridSpan w:val="4"/>
          </w:tcPr>
          <w:p w:rsidR="0027137A" w:rsidRPr="003334C7" w:rsidRDefault="0027137A" w:rsidP="00292336">
            <w:pPr>
              <w:rPr>
                <w:rFonts w:asciiTheme="minorHAnsi" w:hAnsiTheme="minorHAnsi"/>
                <w:sz w:val="20"/>
                <w:szCs w:val="20"/>
              </w:rPr>
            </w:pPr>
            <w:r w:rsidRPr="003334C7">
              <w:rPr>
                <w:rFonts w:asciiTheme="minorHAnsi" w:hAnsiTheme="minorHAnsi"/>
                <w:sz w:val="20"/>
                <w:szCs w:val="20"/>
              </w:rPr>
              <w:lastRenderedPageBreak/>
              <w:t xml:space="preserve">Average residual waste per household sent to the energy recovery facility in 2016/17 </w:t>
            </w:r>
            <w:r w:rsidRPr="003334C7">
              <w:rPr>
                <w:rFonts w:asciiTheme="minorHAnsi" w:hAnsiTheme="minorHAnsi"/>
                <w:sz w:val="20"/>
                <w:szCs w:val="20"/>
              </w:rPr>
              <w:lastRenderedPageBreak/>
              <w:t xml:space="preserve">was </w:t>
            </w:r>
            <w:r w:rsidRPr="003334C7">
              <w:rPr>
                <w:rFonts w:asciiTheme="minorHAnsi" w:hAnsiTheme="minorHAnsi"/>
                <w:bCs/>
                <w:sz w:val="20"/>
                <w:szCs w:val="20"/>
              </w:rPr>
              <w:t>382.68 kg per household</w:t>
            </w:r>
            <w:r w:rsidRPr="003334C7">
              <w:rPr>
                <w:rFonts w:asciiTheme="minorHAnsi" w:hAnsiTheme="minorHAnsi"/>
                <w:sz w:val="20"/>
                <w:szCs w:val="20"/>
              </w:rPr>
              <w:t xml:space="preserve">, well below the Corporate Plan 2015-19 target for 2016/17 of 423.0kg per household. This represents a 6.5% decrease in comparison to the 2015/16 monitoring year.  </w:t>
            </w:r>
          </w:p>
        </w:tc>
      </w:tr>
      <w:tr w:rsidR="0027137A" w:rsidRPr="003334C7" w:rsidTr="00292336">
        <w:trPr>
          <w:trHeight w:val="1312"/>
        </w:trPr>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lastRenderedPageBreak/>
              <w:t>Rate of total household waste recycling and composting in Oxfordshire</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40%+ by 31 March 2010</w:t>
            </w:r>
          </w:p>
          <w:p w:rsidR="0027137A" w:rsidRPr="003334C7" w:rsidRDefault="0027137A" w:rsidP="00292336">
            <w:pPr>
              <w:rPr>
                <w:rFonts w:eastAsia="Calibri" w:cs="Times New Roman"/>
                <w:sz w:val="20"/>
              </w:rPr>
            </w:pPr>
            <w:r w:rsidRPr="003334C7">
              <w:rPr>
                <w:rFonts w:eastAsia="Calibri" w:cs="Times New Roman"/>
                <w:sz w:val="20"/>
              </w:rPr>
              <w:t>45%+ by 31 March 2015</w:t>
            </w:r>
          </w:p>
          <w:p w:rsidR="0027137A" w:rsidRPr="003334C7" w:rsidRDefault="0027137A" w:rsidP="00292336">
            <w:pPr>
              <w:rPr>
                <w:rFonts w:eastAsia="Calibri" w:cs="Times New Roman"/>
                <w:sz w:val="20"/>
              </w:rPr>
            </w:pPr>
            <w:r w:rsidRPr="003334C7">
              <w:rPr>
                <w:rFonts w:eastAsia="Calibri" w:cs="Times New Roman"/>
                <w:sz w:val="20"/>
              </w:rPr>
              <w:t>55%+ by 31 March 2020</w:t>
            </w:r>
          </w:p>
          <w:p w:rsidR="0027137A" w:rsidRPr="003334C7" w:rsidRDefault="0027137A" w:rsidP="00292336">
            <w:pPr>
              <w:rPr>
                <w:rFonts w:eastAsia="Calibri" w:cs="Times New Roman"/>
                <w:sz w:val="20"/>
              </w:rPr>
            </w:pPr>
          </w:p>
          <w:p w:rsidR="0027137A" w:rsidRPr="003334C7" w:rsidRDefault="0027137A" w:rsidP="00292336">
            <w:pPr>
              <w:rPr>
                <w:rFonts w:eastAsia="Calibri" w:cs="Times New Roman"/>
                <w:sz w:val="20"/>
              </w:rPr>
            </w:pPr>
          </w:p>
          <w:p w:rsidR="0027137A" w:rsidRPr="003334C7" w:rsidRDefault="0027137A" w:rsidP="00292336">
            <w:pPr>
              <w:rPr>
                <w:rFonts w:eastAsia="Calibri" w:cs="Times New Roman"/>
                <w:sz w:val="20"/>
              </w:rPr>
            </w:pP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The percentage of household waste sent for reuse, recycling, composting or anaerobic digestion in 2016/17 was 49.60%. This represents an increase of 5.75% in comparison to the 2015/16 monitoring year.</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Water and soil quality</w:t>
            </w:r>
          </w:p>
        </w:tc>
      </w:tr>
      <w:tr w:rsidR="0027137A" w:rsidRPr="003334C7" w:rsidTr="00292336">
        <w:tc>
          <w:tcPr>
            <w:tcW w:w="2578" w:type="dxa"/>
            <w:vMerge w:val="restart"/>
            <w:shd w:val="clear" w:color="auto" w:fill="auto"/>
          </w:tcPr>
          <w:p w:rsidR="0027137A" w:rsidRPr="003334C7" w:rsidRDefault="0027137A" w:rsidP="00292336">
            <w:pPr>
              <w:rPr>
                <w:rFonts w:eastAsia="Calibri" w:cs="Times New Roman"/>
                <w:sz w:val="20"/>
              </w:rPr>
            </w:pPr>
            <w:r w:rsidRPr="003334C7">
              <w:rPr>
                <w:rFonts w:eastAsia="Calibri" w:cs="Times New Roman"/>
                <w:sz w:val="20"/>
              </w:rPr>
              <w:t xml:space="preserve"> Quality of Oxford’s rivers</w:t>
            </w:r>
          </w:p>
          <w:p w:rsidR="0027137A" w:rsidRPr="003334C7" w:rsidRDefault="0027137A" w:rsidP="00292336">
            <w:pPr>
              <w:rPr>
                <w:rFonts w:eastAsia="Calibri" w:cs="Times New Roman"/>
                <w:sz w:val="20"/>
              </w:rPr>
            </w:pPr>
          </w:p>
        </w:tc>
        <w:tc>
          <w:tcPr>
            <w:tcW w:w="2573" w:type="dxa"/>
            <w:gridSpan w:val="2"/>
            <w:vMerge w:val="restart"/>
            <w:shd w:val="clear" w:color="auto" w:fill="auto"/>
          </w:tcPr>
          <w:p w:rsidR="0027137A" w:rsidRPr="003334C7" w:rsidRDefault="0027137A" w:rsidP="00292336">
            <w:pPr>
              <w:rPr>
                <w:rFonts w:eastAsia="Calibri" w:cs="Times New Roman"/>
                <w:sz w:val="20"/>
              </w:rPr>
            </w:pPr>
            <w:r w:rsidRPr="003334C7">
              <w:rPr>
                <w:rFonts w:eastAsia="Calibri" w:cs="Times New Roman"/>
                <w:sz w:val="20"/>
              </w:rPr>
              <w:t>Achievement of ‘good’ status as part of the Environment Agency’s River Basement Management Plan (RBMP) by 2027 at the latest</w:t>
            </w:r>
          </w:p>
        </w:tc>
        <w:tc>
          <w:tcPr>
            <w:tcW w:w="1761"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Water body:</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2016</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2015</w:t>
            </w:r>
          </w:p>
        </w:tc>
        <w:tc>
          <w:tcPr>
            <w:tcW w:w="745"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2014</w:t>
            </w:r>
          </w:p>
        </w:tc>
      </w:tr>
      <w:tr w:rsidR="0027137A" w:rsidRPr="003334C7" w:rsidTr="00292336">
        <w:tc>
          <w:tcPr>
            <w:tcW w:w="2578" w:type="dxa"/>
            <w:vMerge/>
            <w:shd w:val="clear" w:color="auto" w:fill="auto"/>
          </w:tcPr>
          <w:p w:rsidR="0027137A" w:rsidRPr="003334C7" w:rsidRDefault="0027137A" w:rsidP="00292336">
            <w:pPr>
              <w:rPr>
                <w:rFonts w:eastAsia="Calibri" w:cs="Times New Roman"/>
                <w:sz w:val="20"/>
              </w:rPr>
            </w:pPr>
          </w:p>
        </w:tc>
        <w:tc>
          <w:tcPr>
            <w:tcW w:w="2573" w:type="dxa"/>
            <w:gridSpan w:val="2"/>
            <w:vMerge/>
            <w:shd w:val="clear" w:color="auto" w:fill="auto"/>
          </w:tcPr>
          <w:p w:rsidR="0027137A" w:rsidRPr="003334C7" w:rsidRDefault="0027137A" w:rsidP="00292336">
            <w:pPr>
              <w:rPr>
                <w:rFonts w:eastAsia="Calibri" w:cs="Times New Roman"/>
                <w:sz w:val="20"/>
              </w:rPr>
            </w:pPr>
          </w:p>
        </w:tc>
        <w:tc>
          <w:tcPr>
            <w:tcW w:w="1761"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Bayswater Brook:</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Poor</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Poor</w:t>
            </w:r>
          </w:p>
        </w:tc>
        <w:tc>
          <w:tcPr>
            <w:tcW w:w="745"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Poor</w:t>
            </w:r>
          </w:p>
        </w:tc>
      </w:tr>
      <w:tr w:rsidR="0027137A" w:rsidRPr="003334C7" w:rsidTr="00292336">
        <w:trPr>
          <w:trHeight w:val="728"/>
        </w:trPr>
        <w:tc>
          <w:tcPr>
            <w:tcW w:w="2578" w:type="dxa"/>
            <w:vMerge/>
            <w:shd w:val="clear" w:color="auto" w:fill="auto"/>
          </w:tcPr>
          <w:p w:rsidR="0027137A" w:rsidRPr="003334C7" w:rsidRDefault="0027137A" w:rsidP="00292336">
            <w:pPr>
              <w:rPr>
                <w:rFonts w:eastAsia="Calibri" w:cs="Times New Roman"/>
                <w:sz w:val="20"/>
              </w:rPr>
            </w:pPr>
          </w:p>
        </w:tc>
        <w:tc>
          <w:tcPr>
            <w:tcW w:w="2573" w:type="dxa"/>
            <w:gridSpan w:val="2"/>
            <w:vMerge/>
            <w:shd w:val="clear" w:color="auto" w:fill="auto"/>
          </w:tcPr>
          <w:p w:rsidR="0027137A" w:rsidRPr="003334C7" w:rsidRDefault="0027137A" w:rsidP="00292336">
            <w:pPr>
              <w:rPr>
                <w:rFonts w:eastAsia="Calibri" w:cs="Times New Roman"/>
                <w:sz w:val="20"/>
              </w:rPr>
            </w:pPr>
          </w:p>
        </w:tc>
        <w:tc>
          <w:tcPr>
            <w:tcW w:w="1761"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Cherwell (Ray to Thames) and </w:t>
            </w:r>
            <w:proofErr w:type="spellStart"/>
            <w:r w:rsidRPr="003334C7">
              <w:rPr>
                <w:rFonts w:asciiTheme="minorHAnsi" w:hAnsiTheme="minorHAnsi"/>
                <w:sz w:val="20"/>
              </w:rPr>
              <w:t>Woodeaton</w:t>
            </w:r>
            <w:proofErr w:type="spellEnd"/>
            <w:r w:rsidRPr="003334C7">
              <w:rPr>
                <w:rFonts w:asciiTheme="minorHAnsi" w:hAnsiTheme="minorHAnsi"/>
                <w:sz w:val="20"/>
              </w:rPr>
              <w:t xml:space="preserve"> Brook:</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Poor</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r>
      <w:tr w:rsidR="0027137A" w:rsidRPr="003334C7" w:rsidTr="00292336">
        <w:trPr>
          <w:trHeight w:val="728"/>
        </w:trPr>
        <w:tc>
          <w:tcPr>
            <w:tcW w:w="2578" w:type="dxa"/>
            <w:vMerge/>
            <w:shd w:val="clear" w:color="auto" w:fill="auto"/>
          </w:tcPr>
          <w:p w:rsidR="0027137A" w:rsidRPr="003334C7" w:rsidRDefault="0027137A" w:rsidP="00292336">
            <w:pPr>
              <w:rPr>
                <w:rFonts w:eastAsia="Calibri" w:cs="Times New Roman"/>
                <w:sz w:val="20"/>
              </w:rPr>
            </w:pPr>
          </w:p>
        </w:tc>
        <w:tc>
          <w:tcPr>
            <w:tcW w:w="2573" w:type="dxa"/>
            <w:gridSpan w:val="2"/>
            <w:vMerge/>
            <w:shd w:val="clear" w:color="auto" w:fill="auto"/>
          </w:tcPr>
          <w:p w:rsidR="0027137A" w:rsidRPr="003334C7" w:rsidRDefault="0027137A" w:rsidP="00292336">
            <w:pPr>
              <w:rPr>
                <w:rFonts w:eastAsia="Calibri" w:cs="Times New Roman"/>
                <w:sz w:val="20"/>
              </w:rPr>
            </w:pPr>
          </w:p>
        </w:tc>
        <w:tc>
          <w:tcPr>
            <w:tcW w:w="1761"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Northfield Brook (Source to Thames) at </w:t>
            </w:r>
            <w:proofErr w:type="spellStart"/>
            <w:r w:rsidRPr="003334C7">
              <w:rPr>
                <w:rFonts w:asciiTheme="minorHAnsi" w:hAnsiTheme="minorHAnsi"/>
                <w:sz w:val="20"/>
              </w:rPr>
              <w:t>Sandford</w:t>
            </w:r>
            <w:proofErr w:type="spellEnd"/>
            <w:r w:rsidRPr="003334C7">
              <w:rPr>
                <w:rFonts w:asciiTheme="minorHAnsi" w:hAnsiTheme="minorHAnsi"/>
                <w:sz w:val="20"/>
              </w:rPr>
              <w:t>:</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Poor</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Bad</w:t>
            </w:r>
          </w:p>
        </w:tc>
        <w:tc>
          <w:tcPr>
            <w:tcW w:w="745"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Bad</w:t>
            </w:r>
          </w:p>
        </w:tc>
      </w:tr>
      <w:tr w:rsidR="0027137A" w:rsidRPr="003334C7" w:rsidTr="00292336">
        <w:trPr>
          <w:trHeight w:val="601"/>
        </w:trPr>
        <w:tc>
          <w:tcPr>
            <w:tcW w:w="2578" w:type="dxa"/>
            <w:vMerge/>
            <w:shd w:val="clear" w:color="auto" w:fill="auto"/>
          </w:tcPr>
          <w:p w:rsidR="0027137A" w:rsidRPr="003334C7" w:rsidRDefault="0027137A" w:rsidP="00292336">
            <w:pPr>
              <w:rPr>
                <w:rFonts w:eastAsia="Calibri" w:cs="Times New Roman"/>
                <w:sz w:val="20"/>
              </w:rPr>
            </w:pPr>
          </w:p>
        </w:tc>
        <w:tc>
          <w:tcPr>
            <w:tcW w:w="2573" w:type="dxa"/>
            <w:gridSpan w:val="2"/>
            <w:vMerge/>
            <w:shd w:val="clear" w:color="auto" w:fill="auto"/>
          </w:tcPr>
          <w:p w:rsidR="0027137A" w:rsidRPr="003334C7" w:rsidRDefault="0027137A" w:rsidP="00292336">
            <w:pPr>
              <w:rPr>
                <w:rFonts w:eastAsia="Calibri" w:cs="Times New Roman"/>
                <w:sz w:val="20"/>
              </w:rPr>
            </w:pPr>
          </w:p>
        </w:tc>
        <w:tc>
          <w:tcPr>
            <w:tcW w:w="1761"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Thames (</w:t>
            </w:r>
            <w:proofErr w:type="spellStart"/>
            <w:r w:rsidRPr="003334C7">
              <w:rPr>
                <w:rFonts w:asciiTheme="minorHAnsi" w:hAnsiTheme="minorHAnsi"/>
                <w:sz w:val="20"/>
              </w:rPr>
              <w:t>Evenlode</w:t>
            </w:r>
            <w:proofErr w:type="spellEnd"/>
            <w:r w:rsidRPr="003334C7">
              <w:rPr>
                <w:rFonts w:asciiTheme="minorHAnsi" w:hAnsiTheme="minorHAnsi"/>
                <w:sz w:val="20"/>
              </w:rPr>
              <w:t xml:space="preserve"> to Thames):</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r>
      <w:tr w:rsidR="0027137A" w:rsidRPr="003334C7" w:rsidTr="00292336">
        <w:tc>
          <w:tcPr>
            <w:tcW w:w="2578" w:type="dxa"/>
            <w:vMerge/>
            <w:shd w:val="clear" w:color="auto" w:fill="auto"/>
          </w:tcPr>
          <w:p w:rsidR="0027137A" w:rsidRPr="003334C7" w:rsidRDefault="0027137A" w:rsidP="00292336">
            <w:pPr>
              <w:rPr>
                <w:rFonts w:eastAsia="Calibri" w:cs="Times New Roman"/>
                <w:sz w:val="20"/>
              </w:rPr>
            </w:pPr>
          </w:p>
        </w:tc>
        <w:tc>
          <w:tcPr>
            <w:tcW w:w="2573" w:type="dxa"/>
            <w:gridSpan w:val="2"/>
            <w:vMerge/>
            <w:shd w:val="clear" w:color="auto" w:fill="auto"/>
          </w:tcPr>
          <w:p w:rsidR="0027137A" w:rsidRPr="003334C7" w:rsidRDefault="0027137A" w:rsidP="00292336">
            <w:pPr>
              <w:rPr>
                <w:rFonts w:eastAsia="Calibri" w:cs="Times New Roman"/>
                <w:sz w:val="20"/>
              </w:rPr>
            </w:pPr>
          </w:p>
        </w:tc>
        <w:tc>
          <w:tcPr>
            <w:tcW w:w="1761"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 Oxford Canal (</w:t>
            </w:r>
            <w:proofErr w:type="spellStart"/>
            <w:r w:rsidRPr="003334C7">
              <w:rPr>
                <w:rFonts w:asciiTheme="minorHAnsi" w:hAnsiTheme="minorHAnsi"/>
                <w:sz w:val="20"/>
              </w:rPr>
              <w:t>Thrupp</w:t>
            </w:r>
            <w:proofErr w:type="spellEnd"/>
            <w:r w:rsidRPr="003334C7">
              <w:rPr>
                <w:rFonts w:asciiTheme="minorHAnsi" w:hAnsiTheme="minorHAnsi"/>
                <w:sz w:val="20"/>
              </w:rPr>
              <w:t xml:space="preserve"> to Thames):</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c>
          <w:tcPr>
            <w:tcW w:w="709"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Good </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Incorporation of Sustainable Urban Drainage System in all relevant new developments</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N/A</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No specific monitoring target.</w:t>
            </w:r>
          </w:p>
        </w:tc>
      </w:tr>
      <w:tr w:rsidR="0027137A" w:rsidRPr="003334C7" w:rsidTr="00292336">
        <w:tc>
          <w:tcPr>
            <w:tcW w:w="9075" w:type="dxa"/>
            <w:gridSpan w:val="7"/>
            <w:shd w:val="clear" w:color="auto" w:fill="D9D9D9" w:themeFill="background1" w:themeFillShade="D9"/>
          </w:tcPr>
          <w:p w:rsidR="0027137A" w:rsidRPr="003334C7" w:rsidRDefault="0027137A" w:rsidP="00292336">
            <w:pPr>
              <w:rPr>
                <w:rFonts w:asciiTheme="minorHAnsi" w:hAnsiTheme="minorHAnsi"/>
                <w:b/>
                <w:sz w:val="20"/>
              </w:rPr>
            </w:pPr>
            <w:r w:rsidRPr="003334C7">
              <w:rPr>
                <w:rFonts w:asciiTheme="minorHAnsi" w:hAnsiTheme="minorHAnsi"/>
                <w:b/>
                <w:sz w:val="20"/>
              </w:rPr>
              <w:t>Skilled workforce / high employment / economic growth / economic innovation</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Total no. new Use Class B jobs created in Oxford</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7,500+ by 2026</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The Core Strategy baseline for total jobs in Oxford was 101,900. Latest </w:t>
            </w:r>
            <w:hyperlink r:id="rId40" w:anchor="tabempunemp" w:history="1">
              <w:proofErr w:type="spellStart"/>
              <w:r w:rsidRPr="003334C7">
                <w:rPr>
                  <w:rFonts w:asciiTheme="minorHAnsi" w:hAnsiTheme="minorHAnsi"/>
                  <w:color w:val="0000FF"/>
                  <w:sz w:val="20"/>
                  <w:u w:val="single"/>
                </w:rPr>
                <w:t>Nomis</w:t>
              </w:r>
              <w:proofErr w:type="spellEnd"/>
            </w:hyperlink>
            <w:r w:rsidRPr="003334C7">
              <w:rPr>
                <w:rFonts w:asciiTheme="minorHAnsi" w:hAnsiTheme="minorHAnsi"/>
                <w:sz w:val="20"/>
              </w:rPr>
              <w:t xml:space="preserve"> figures show that total jobs stood at 133,000 in 2015. It is not possible to say exactly how many of the new jobs created fall within Class B, but this growth is extremely positive. </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 economically active</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Increasing</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2016/17 – 82.5% economically active</w:t>
            </w:r>
          </w:p>
          <w:p w:rsidR="0027137A" w:rsidRPr="003334C7" w:rsidRDefault="0027137A" w:rsidP="00292336">
            <w:pPr>
              <w:rPr>
                <w:rFonts w:asciiTheme="minorHAnsi" w:hAnsiTheme="minorHAnsi"/>
                <w:sz w:val="20"/>
              </w:rPr>
            </w:pPr>
            <w:r w:rsidRPr="003334C7">
              <w:rPr>
                <w:rFonts w:asciiTheme="minorHAnsi" w:hAnsiTheme="minorHAnsi"/>
                <w:sz w:val="20"/>
              </w:rPr>
              <w:t>2015/16 – 84.7% economically active</w:t>
            </w:r>
          </w:p>
          <w:p w:rsidR="0027137A" w:rsidRPr="003334C7" w:rsidRDefault="0027137A" w:rsidP="00292336">
            <w:pPr>
              <w:rPr>
                <w:rFonts w:asciiTheme="minorHAnsi" w:hAnsiTheme="minorHAnsi"/>
                <w:sz w:val="20"/>
              </w:rPr>
            </w:pPr>
            <w:r w:rsidRPr="003334C7">
              <w:rPr>
                <w:rFonts w:asciiTheme="minorHAnsi" w:hAnsiTheme="minorHAnsi"/>
                <w:sz w:val="20"/>
              </w:rPr>
              <w:t>2014/15 - 80.0% economically active</w:t>
            </w:r>
          </w:p>
          <w:p w:rsidR="0027137A" w:rsidRPr="003334C7" w:rsidRDefault="0027137A" w:rsidP="00292336">
            <w:pPr>
              <w:rPr>
                <w:rFonts w:asciiTheme="minorHAnsi" w:hAnsiTheme="minorHAnsi"/>
                <w:sz w:val="20"/>
              </w:rPr>
            </w:pPr>
            <w:r w:rsidRPr="003334C7">
              <w:rPr>
                <w:rFonts w:asciiTheme="minorHAnsi" w:hAnsiTheme="minorHAnsi"/>
                <w:sz w:val="20"/>
              </w:rPr>
              <w:t>2013/14 - 78.1% economically active</w:t>
            </w:r>
          </w:p>
          <w:p w:rsidR="0027137A" w:rsidRPr="003334C7" w:rsidRDefault="0027137A" w:rsidP="00292336">
            <w:pPr>
              <w:rPr>
                <w:rFonts w:asciiTheme="minorHAnsi" w:hAnsiTheme="minorHAnsi"/>
                <w:sz w:val="20"/>
              </w:rPr>
            </w:pPr>
            <w:r w:rsidRPr="003334C7">
              <w:rPr>
                <w:rFonts w:asciiTheme="minorHAnsi" w:hAnsiTheme="minorHAnsi"/>
                <w:sz w:val="20"/>
              </w:rPr>
              <w:t>2010/11 (baseline) - 77.6%</w:t>
            </w:r>
          </w:p>
          <w:p w:rsidR="0027137A" w:rsidRPr="003334C7" w:rsidRDefault="0027137A" w:rsidP="00292336">
            <w:pPr>
              <w:rPr>
                <w:rFonts w:asciiTheme="minorHAnsi" w:hAnsiTheme="minorHAnsi"/>
                <w:sz w:val="20"/>
              </w:rPr>
            </w:pPr>
            <w:r w:rsidRPr="003334C7">
              <w:rPr>
                <w:rFonts w:asciiTheme="minorHAnsi" w:hAnsiTheme="minorHAnsi"/>
                <w:sz w:val="20"/>
              </w:rPr>
              <w:t xml:space="preserve">(Data source: </w:t>
            </w:r>
            <w:proofErr w:type="spellStart"/>
            <w:r w:rsidRPr="003334C7">
              <w:rPr>
                <w:rFonts w:asciiTheme="minorHAnsi" w:hAnsiTheme="minorHAnsi"/>
                <w:sz w:val="20"/>
              </w:rPr>
              <w:t>Nomis</w:t>
            </w:r>
            <w:proofErr w:type="spellEnd"/>
            <w:r w:rsidRPr="003334C7">
              <w:rPr>
                <w:rFonts w:asciiTheme="minorHAnsi" w:hAnsiTheme="minorHAnsi"/>
                <w:sz w:val="20"/>
              </w:rPr>
              <w:t>)</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New retail, office and leisure development in the city centre and district centres</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As per targets set in the Core Strategy monitoring framework</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 xml:space="preserve">Indicator </w:t>
            </w:r>
            <w:r w:rsidRPr="003334C7">
              <w:rPr>
                <w:sz w:val="21"/>
                <w:szCs w:val="21"/>
              </w:rPr>
              <w:t>4</w:t>
            </w:r>
            <w:r w:rsidRPr="003334C7">
              <w:rPr>
                <w:rFonts w:asciiTheme="minorHAnsi" w:hAnsiTheme="minorHAnsi"/>
                <w:sz w:val="20"/>
              </w:rPr>
              <w:t xml:space="preserve">: </w:t>
            </w:r>
            <w:r w:rsidRPr="003334C7">
              <w:rPr>
                <w:rFonts w:cs="Calibri"/>
                <w:sz w:val="20"/>
              </w:rPr>
              <w:t>Location of new A1 retail development</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t>Average length of visitor stays</w:t>
            </w:r>
          </w:p>
        </w:tc>
        <w:tc>
          <w:tcPr>
            <w:tcW w:w="2563" w:type="dxa"/>
            <w:shd w:val="clear" w:color="auto" w:fill="auto"/>
          </w:tcPr>
          <w:p w:rsidR="0027137A" w:rsidRPr="003334C7" w:rsidRDefault="0027137A" w:rsidP="00292336">
            <w:pPr>
              <w:rPr>
                <w:rFonts w:asciiTheme="minorHAnsi" w:hAnsiTheme="minorHAnsi"/>
                <w:sz w:val="20"/>
              </w:rPr>
            </w:pPr>
            <w:r w:rsidRPr="003334C7">
              <w:rPr>
                <w:rFonts w:eastAsia="Calibri" w:cs="Times New Roman"/>
                <w:sz w:val="20"/>
              </w:rPr>
              <w:t>Increasing</w:t>
            </w:r>
            <w:r w:rsidRPr="003334C7">
              <w:rPr>
                <w:rFonts w:asciiTheme="minorHAnsi" w:hAnsiTheme="minorHAnsi"/>
                <w:sz w:val="20"/>
              </w:rPr>
              <w:t xml:space="preserve"> </w:t>
            </w:r>
          </w:p>
          <w:p w:rsidR="0027137A" w:rsidRPr="003334C7" w:rsidRDefault="0027137A" w:rsidP="00292336">
            <w:pPr>
              <w:rPr>
                <w:rFonts w:asciiTheme="minorHAnsi" w:hAnsiTheme="minorHAnsi"/>
                <w:sz w:val="20"/>
              </w:rPr>
            </w:pPr>
            <w:r w:rsidRPr="003334C7">
              <w:rPr>
                <w:rFonts w:asciiTheme="minorHAnsi" w:hAnsiTheme="minorHAnsi"/>
                <w:sz w:val="20"/>
              </w:rPr>
              <w:t xml:space="preserve">*As of 2016, ONS has changed the way data is provided. Previously, visitor data was presented by county visited; it is now presented by city visited. It is therefore difficult to monitor trends across 2015 to 2016 onwards. </w:t>
            </w:r>
          </w:p>
          <w:p w:rsidR="0027137A" w:rsidRPr="003334C7" w:rsidRDefault="0027137A" w:rsidP="00292336">
            <w:pPr>
              <w:rPr>
                <w:rFonts w:eastAsia="Calibri" w:cs="Times New Roman"/>
                <w:sz w:val="20"/>
              </w:rPr>
            </w:pP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lastRenderedPageBreak/>
              <w:t xml:space="preserve">Oxford: 2016 – average stay 6 nights. </w:t>
            </w:r>
          </w:p>
          <w:p w:rsidR="0027137A" w:rsidRPr="003334C7" w:rsidRDefault="0027137A" w:rsidP="00292336">
            <w:pPr>
              <w:rPr>
                <w:rFonts w:asciiTheme="minorHAnsi" w:hAnsiTheme="minorHAnsi"/>
                <w:sz w:val="20"/>
              </w:rPr>
            </w:pPr>
            <w:r w:rsidRPr="003334C7">
              <w:rPr>
                <w:rFonts w:asciiTheme="minorHAnsi" w:hAnsiTheme="minorHAnsi"/>
                <w:sz w:val="20"/>
              </w:rPr>
              <w:t>Oxfordshire: 2016 – average stay 6.35 nights (8.29% decrease on the previous year)</w:t>
            </w:r>
          </w:p>
          <w:p w:rsidR="0027137A" w:rsidRPr="003334C7" w:rsidRDefault="0027137A" w:rsidP="00292336">
            <w:pPr>
              <w:rPr>
                <w:rFonts w:asciiTheme="minorHAnsi" w:hAnsiTheme="minorHAnsi"/>
                <w:sz w:val="20"/>
              </w:rPr>
            </w:pPr>
          </w:p>
          <w:p w:rsidR="0027137A" w:rsidRPr="003334C7" w:rsidRDefault="0027137A" w:rsidP="00292336">
            <w:pPr>
              <w:rPr>
                <w:rFonts w:asciiTheme="minorHAnsi" w:hAnsiTheme="minorHAnsi"/>
                <w:sz w:val="20"/>
              </w:rPr>
            </w:pPr>
            <w:r w:rsidRPr="003334C7">
              <w:rPr>
                <w:rFonts w:asciiTheme="minorHAnsi" w:hAnsiTheme="minorHAnsi"/>
                <w:sz w:val="20"/>
              </w:rPr>
              <w:t>Specific data on length of visitor stays is only available for overseas visitors at the Oxfordshire level. Visits to Oxford account for around 77% of these</w:t>
            </w:r>
          </w:p>
          <w:p w:rsidR="0027137A" w:rsidRPr="003334C7" w:rsidRDefault="0027137A" w:rsidP="00292336">
            <w:pPr>
              <w:rPr>
                <w:rFonts w:asciiTheme="minorHAnsi" w:hAnsiTheme="minorHAnsi"/>
                <w:sz w:val="20"/>
              </w:rPr>
            </w:pPr>
            <w:r w:rsidRPr="003334C7">
              <w:rPr>
                <w:rFonts w:asciiTheme="minorHAnsi" w:hAnsiTheme="minorHAnsi"/>
                <w:sz w:val="20"/>
              </w:rPr>
              <w:t>2016/17:</w:t>
            </w:r>
          </w:p>
          <w:p w:rsidR="0027137A" w:rsidRPr="003334C7" w:rsidRDefault="0027137A" w:rsidP="00292336">
            <w:pPr>
              <w:rPr>
                <w:rFonts w:asciiTheme="minorHAnsi" w:hAnsiTheme="minorHAnsi"/>
                <w:sz w:val="20"/>
              </w:rPr>
            </w:pPr>
            <w:r w:rsidRPr="003334C7">
              <w:rPr>
                <w:rFonts w:asciiTheme="minorHAnsi" w:hAnsiTheme="minorHAnsi"/>
                <w:sz w:val="20"/>
              </w:rPr>
              <w:t>7.83% of visitors stay for 1-3 nights</w:t>
            </w:r>
          </w:p>
          <w:p w:rsidR="0027137A" w:rsidRPr="003334C7" w:rsidRDefault="0027137A" w:rsidP="00292336">
            <w:pPr>
              <w:rPr>
                <w:rFonts w:asciiTheme="minorHAnsi" w:hAnsiTheme="minorHAnsi"/>
                <w:sz w:val="20"/>
              </w:rPr>
            </w:pPr>
            <w:r w:rsidRPr="003334C7">
              <w:rPr>
                <w:rFonts w:asciiTheme="minorHAnsi" w:hAnsiTheme="minorHAnsi"/>
                <w:sz w:val="20"/>
              </w:rPr>
              <w:lastRenderedPageBreak/>
              <w:t>21.84% of visitors stay for 4-7 nights</w:t>
            </w:r>
          </w:p>
          <w:p w:rsidR="0027137A" w:rsidRPr="003334C7" w:rsidRDefault="0027137A" w:rsidP="00292336">
            <w:pPr>
              <w:rPr>
                <w:rFonts w:asciiTheme="minorHAnsi" w:hAnsiTheme="minorHAnsi"/>
                <w:sz w:val="20"/>
              </w:rPr>
            </w:pPr>
            <w:r w:rsidRPr="003334C7">
              <w:rPr>
                <w:rFonts w:asciiTheme="minorHAnsi" w:hAnsiTheme="minorHAnsi"/>
                <w:sz w:val="20"/>
              </w:rPr>
              <w:t>17.68% of visitors stay for 8-14 nights</w:t>
            </w:r>
          </w:p>
          <w:p w:rsidR="0027137A" w:rsidRPr="003334C7" w:rsidRDefault="0027137A" w:rsidP="00292336">
            <w:pPr>
              <w:rPr>
                <w:rFonts w:asciiTheme="minorHAnsi" w:hAnsiTheme="minorHAnsi"/>
                <w:sz w:val="20"/>
              </w:rPr>
            </w:pPr>
            <w:r w:rsidRPr="003334C7">
              <w:rPr>
                <w:rFonts w:asciiTheme="minorHAnsi" w:hAnsiTheme="minorHAnsi"/>
                <w:sz w:val="20"/>
              </w:rPr>
              <w:t>52.65% of visitors stay for 15+ nights</w:t>
            </w:r>
          </w:p>
          <w:p w:rsidR="0027137A" w:rsidRPr="003334C7" w:rsidRDefault="0027137A" w:rsidP="00292336">
            <w:pPr>
              <w:rPr>
                <w:rFonts w:asciiTheme="minorHAnsi" w:hAnsiTheme="minorHAnsi"/>
                <w:sz w:val="20"/>
              </w:rPr>
            </w:pPr>
          </w:p>
          <w:p w:rsidR="0027137A" w:rsidRPr="003334C7" w:rsidRDefault="0027137A" w:rsidP="00292336">
            <w:pPr>
              <w:rPr>
                <w:rFonts w:asciiTheme="minorHAnsi" w:hAnsiTheme="minorHAnsi"/>
                <w:sz w:val="20"/>
              </w:rPr>
            </w:pPr>
            <w:r w:rsidRPr="003334C7">
              <w:rPr>
                <w:rFonts w:asciiTheme="minorHAnsi" w:hAnsiTheme="minorHAnsi"/>
                <w:sz w:val="20"/>
              </w:rPr>
              <w:t>2015/16:</w:t>
            </w:r>
          </w:p>
          <w:p w:rsidR="0027137A" w:rsidRPr="003334C7" w:rsidRDefault="0027137A" w:rsidP="00292336">
            <w:pPr>
              <w:rPr>
                <w:rFonts w:asciiTheme="minorHAnsi" w:hAnsiTheme="minorHAnsi"/>
                <w:sz w:val="20"/>
              </w:rPr>
            </w:pPr>
            <w:r w:rsidRPr="003334C7">
              <w:rPr>
                <w:rFonts w:asciiTheme="minorHAnsi" w:hAnsiTheme="minorHAnsi"/>
                <w:sz w:val="20"/>
              </w:rPr>
              <w:t>28.75% of visitors stay for 1-3 nights</w:t>
            </w:r>
          </w:p>
          <w:p w:rsidR="0027137A" w:rsidRPr="003334C7" w:rsidRDefault="0027137A" w:rsidP="00292336">
            <w:pPr>
              <w:rPr>
                <w:rFonts w:asciiTheme="minorHAnsi" w:hAnsiTheme="minorHAnsi"/>
                <w:sz w:val="20"/>
              </w:rPr>
            </w:pPr>
            <w:r w:rsidRPr="003334C7">
              <w:rPr>
                <w:rFonts w:asciiTheme="minorHAnsi" w:hAnsiTheme="minorHAnsi"/>
                <w:sz w:val="20"/>
              </w:rPr>
              <w:t>30.67% of visitors stay for 4-7 nights</w:t>
            </w:r>
          </w:p>
          <w:p w:rsidR="0027137A" w:rsidRPr="003334C7" w:rsidRDefault="0027137A" w:rsidP="00292336">
            <w:pPr>
              <w:rPr>
                <w:rFonts w:asciiTheme="minorHAnsi" w:hAnsiTheme="minorHAnsi"/>
                <w:sz w:val="20"/>
              </w:rPr>
            </w:pPr>
            <w:r w:rsidRPr="003334C7">
              <w:rPr>
                <w:rFonts w:asciiTheme="minorHAnsi" w:hAnsiTheme="minorHAnsi"/>
                <w:sz w:val="20"/>
              </w:rPr>
              <w:t>23.21% of visitors stay for 8-14 nights</w:t>
            </w:r>
          </w:p>
          <w:p w:rsidR="0027137A" w:rsidRPr="003334C7" w:rsidRDefault="0027137A" w:rsidP="00292336">
            <w:pPr>
              <w:rPr>
                <w:rFonts w:asciiTheme="minorHAnsi" w:hAnsiTheme="minorHAnsi"/>
                <w:sz w:val="20"/>
              </w:rPr>
            </w:pPr>
            <w:r w:rsidRPr="003334C7">
              <w:rPr>
                <w:rFonts w:asciiTheme="minorHAnsi" w:hAnsiTheme="minorHAnsi"/>
                <w:sz w:val="20"/>
              </w:rPr>
              <w:t>17.37% of visitors stay for 15+ nights</w:t>
            </w:r>
          </w:p>
          <w:p w:rsidR="0027137A" w:rsidRPr="003334C7" w:rsidRDefault="0027137A" w:rsidP="00292336">
            <w:pPr>
              <w:rPr>
                <w:rFonts w:asciiTheme="minorHAnsi" w:hAnsiTheme="minorHAnsi"/>
                <w:sz w:val="20"/>
              </w:rPr>
            </w:pPr>
            <w:r w:rsidRPr="003334C7">
              <w:rPr>
                <w:rFonts w:asciiTheme="minorHAnsi" w:hAnsiTheme="minorHAnsi"/>
                <w:sz w:val="20"/>
              </w:rPr>
              <w:t>Data source: Office for National Statistics International Passenger Survey (2016)</w:t>
            </w:r>
          </w:p>
        </w:tc>
      </w:tr>
      <w:tr w:rsidR="0027137A" w:rsidRPr="003334C7" w:rsidTr="00292336">
        <w:tc>
          <w:tcPr>
            <w:tcW w:w="2588" w:type="dxa"/>
            <w:gridSpan w:val="2"/>
            <w:shd w:val="clear" w:color="auto" w:fill="auto"/>
          </w:tcPr>
          <w:p w:rsidR="0027137A" w:rsidRPr="003334C7" w:rsidRDefault="0027137A" w:rsidP="00292336">
            <w:pPr>
              <w:rPr>
                <w:rFonts w:eastAsia="Calibri" w:cs="Times New Roman"/>
                <w:sz w:val="20"/>
              </w:rPr>
            </w:pPr>
            <w:r w:rsidRPr="003334C7">
              <w:rPr>
                <w:rFonts w:eastAsia="Calibri" w:cs="Times New Roman"/>
                <w:sz w:val="20"/>
              </w:rPr>
              <w:lastRenderedPageBreak/>
              <w:t>Average visitor spend</w:t>
            </w:r>
          </w:p>
        </w:tc>
        <w:tc>
          <w:tcPr>
            <w:tcW w:w="2563" w:type="dxa"/>
            <w:shd w:val="clear" w:color="auto" w:fill="auto"/>
          </w:tcPr>
          <w:p w:rsidR="0027137A" w:rsidRPr="003334C7" w:rsidRDefault="0027137A" w:rsidP="00292336">
            <w:pPr>
              <w:rPr>
                <w:rFonts w:eastAsia="Calibri" w:cs="Times New Roman"/>
                <w:sz w:val="20"/>
              </w:rPr>
            </w:pPr>
            <w:r w:rsidRPr="003334C7">
              <w:rPr>
                <w:rFonts w:eastAsia="Calibri" w:cs="Times New Roman"/>
                <w:sz w:val="20"/>
              </w:rPr>
              <w:t>Increasing</w:t>
            </w:r>
          </w:p>
          <w:p w:rsidR="0027137A" w:rsidRPr="003334C7" w:rsidRDefault="0027137A" w:rsidP="00292336">
            <w:pPr>
              <w:rPr>
                <w:rFonts w:eastAsia="Calibri" w:cs="Times New Roman"/>
                <w:sz w:val="20"/>
              </w:rPr>
            </w:pPr>
            <w:r w:rsidRPr="003334C7">
              <w:rPr>
                <w:rFonts w:eastAsia="Calibri" w:cs="Times New Roman"/>
                <w:sz w:val="20"/>
              </w:rPr>
              <w:t xml:space="preserve">*ONS has only provided this data since 2016. </w:t>
            </w:r>
          </w:p>
        </w:tc>
        <w:tc>
          <w:tcPr>
            <w:tcW w:w="3924" w:type="dxa"/>
            <w:gridSpan w:val="4"/>
            <w:shd w:val="clear" w:color="auto" w:fill="auto"/>
          </w:tcPr>
          <w:p w:rsidR="0027137A" w:rsidRPr="003334C7" w:rsidRDefault="0027137A" w:rsidP="00292336">
            <w:pPr>
              <w:rPr>
                <w:rFonts w:asciiTheme="minorHAnsi" w:hAnsiTheme="minorHAnsi"/>
                <w:sz w:val="20"/>
              </w:rPr>
            </w:pPr>
            <w:r w:rsidRPr="003334C7">
              <w:rPr>
                <w:rFonts w:asciiTheme="minorHAnsi" w:hAnsiTheme="minorHAnsi"/>
                <w:sz w:val="20"/>
              </w:rPr>
              <w:t>Oxford: £516 per visit</w:t>
            </w:r>
          </w:p>
          <w:p w:rsidR="0027137A" w:rsidRPr="003334C7" w:rsidRDefault="0027137A" w:rsidP="00292336">
            <w:pPr>
              <w:rPr>
                <w:rFonts w:asciiTheme="minorHAnsi" w:hAnsiTheme="minorHAnsi"/>
                <w:sz w:val="20"/>
              </w:rPr>
            </w:pPr>
            <w:r w:rsidRPr="003334C7">
              <w:rPr>
                <w:rFonts w:asciiTheme="minorHAnsi" w:hAnsiTheme="minorHAnsi"/>
                <w:sz w:val="20"/>
              </w:rPr>
              <w:t xml:space="preserve">Oxfordshire: £483 per visit (15.45% decrease on the previous year) </w:t>
            </w:r>
          </w:p>
          <w:p w:rsidR="0027137A" w:rsidRPr="003334C7" w:rsidRDefault="0027137A" w:rsidP="00292336">
            <w:pPr>
              <w:rPr>
                <w:rFonts w:asciiTheme="minorHAnsi" w:hAnsiTheme="minorHAnsi"/>
                <w:sz w:val="20"/>
              </w:rPr>
            </w:pPr>
          </w:p>
          <w:p w:rsidR="0027137A" w:rsidRPr="003334C7" w:rsidRDefault="0027137A" w:rsidP="00292336">
            <w:pPr>
              <w:rPr>
                <w:rFonts w:asciiTheme="minorHAnsi" w:hAnsiTheme="minorHAnsi"/>
                <w:sz w:val="20"/>
              </w:rPr>
            </w:pPr>
            <w:r w:rsidRPr="003334C7">
              <w:rPr>
                <w:rFonts w:asciiTheme="minorHAnsi" w:hAnsiTheme="minorHAnsi"/>
                <w:sz w:val="20"/>
              </w:rPr>
              <w:t>Data source: Office for National Statistics International Passenger Survey (2016)</w:t>
            </w:r>
          </w:p>
        </w:tc>
      </w:tr>
      <w:tr w:rsidR="0027137A" w:rsidRPr="003334C7" w:rsidTr="00292336">
        <w:tc>
          <w:tcPr>
            <w:tcW w:w="2588" w:type="dxa"/>
            <w:gridSpan w:val="2"/>
          </w:tcPr>
          <w:p w:rsidR="0027137A" w:rsidRPr="003334C7" w:rsidRDefault="0027137A" w:rsidP="00292336">
            <w:pPr>
              <w:rPr>
                <w:rFonts w:eastAsia="Calibri" w:cs="Times New Roman"/>
                <w:sz w:val="20"/>
              </w:rPr>
            </w:pPr>
            <w:r w:rsidRPr="003334C7">
              <w:rPr>
                <w:rFonts w:eastAsia="Calibri" w:cs="Times New Roman"/>
                <w:sz w:val="20"/>
              </w:rPr>
              <w:t>Supply of short-stay accommodation</w:t>
            </w:r>
          </w:p>
        </w:tc>
        <w:tc>
          <w:tcPr>
            <w:tcW w:w="2563" w:type="dxa"/>
          </w:tcPr>
          <w:p w:rsidR="0027137A" w:rsidRPr="003334C7" w:rsidRDefault="0027137A" w:rsidP="00292336">
            <w:pPr>
              <w:rPr>
                <w:rFonts w:eastAsia="Calibri" w:cs="Times New Roman"/>
                <w:sz w:val="20"/>
              </w:rPr>
            </w:pPr>
            <w:r w:rsidRPr="003334C7">
              <w:rPr>
                <w:rFonts w:eastAsia="Calibri" w:cs="Times New Roman"/>
                <w:sz w:val="20"/>
              </w:rPr>
              <w:t>Net increase</w:t>
            </w:r>
          </w:p>
        </w:tc>
        <w:tc>
          <w:tcPr>
            <w:tcW w:w="3924" w:type="dxa"/>
            <w:gridSpan w:val="4"/>
          </w:tcPr>
          <w:p w:rsidR="0027137A" w:rsidRPr="003334C7" w:rsidRDefault="0027137A" w:rsidP="00292336">
            <w:pPr>
              <w:rPr>
                <w:rFonts w:asciiTheme="minorHAnsi" w:hAnsiTheme="minorHAnsi"/>
                <w:sz w:val="20"/>
              </w:rPr>
            </w:pPr>
            <w:r w:rsidRPr="003334C7">
              <w:rPr>
                <w:rFonts w:asciiTheme="minorHAnsi" w:hAnsiTheme="minorHAnsi"/>
                <w:sz w:val="20"/>
              </w:rPr>
              <w:t xml:space="preserve">Indicator </w:t>
            </w:r>
            <w:r w:rsidRPr="003334C7">
              <w:rPr>
                <w:sz w:val="21"/>
                <w:szCs w:val="21"/>
              </w:rPr>
              <w:t>6</w:t>
            </w:r>
            <w:r w:rsidRPr="003334C7">
              <w:rPr>
                <w:rFonts w:asciiTheme="minorHAnsi" w:hAnsiTheme="minorHAnsi"/>
                <w:sz w:val="20"/>
              </w:rPr>
              <w:t>: Supply of short stay accommodation</w:t>
            </w:r>
          </w:p>
        </w:tc>
      </w:tr>
    </w:tbl>
    <w:p w:rsidR="0027137A" w:rsidRPr="003334C7" w:rsidRDefault="0027137A" w:rsidP="0027137A">
      <w:pPr>
        <w:spacing w:line="276" w:lineRule="auto"/>
        <w:rPr>
          <w:rFonts w:asciiTheme="minorHAnsi" w:hAnsiTheme="minorHAnsi" w:cstheme="minorBidi"/>
          <w:szCs w:val="22"/>
        </w:rPr>
      </w:pPr>
    </w:p>
    <w:p w:rsidR="0027137A" w:rsidRPr="003334C7" w:rsidRDefault="0027137A" w:rsidP="0027137A"/>
    <w:p w:rsidR="0027137A" w:rsidRDefault="0027137A" w:rsidP="0027137A">
      <w:pPr>
        <w:spacing w:line="276" w:lineRule="auto"/>
        <w:ind w:left="567"/>
        <w:jc w:val="both"/>
      </w:pPr>
    </w:p>
    <w:p w:rsidR="0027137A" w:rsidRPr="00FA15C3" w:rsidRDefault="0027137A" w:rsidP="0027137A">
      <w:pPr>
        <w:spacing w:line="276" w:lineRule="auto"/>
        <w:ind w:left="567"/>
        <w:jc w:val="both"/>
      </w:pPr>
    </w:p>
    <w:p w:rsidR="0027137A" w:rsidRPr="00FA15C3" w:rsidRDefault="0027137A" w:rsidP="0027137A"/>
    <w:p w:rsidR="0027137A" w:rsidRPr="00FA15C3" w:rsidRDefault="0027137A" w:rsidP="0027137A"/>
    <w:p w:rsidR="0027137A" w:rsidRPr="00FA15C3" w:rsidRDefault="0027137A" w:rsidP="0027137A">
      <w:pPr>
        <w:spacing w:line="276" w:lineRule="auto"/>
        <w:rPr>
          <w:rFonts w:asciiTheme="minorHAnsi" w:hAnsiTheme="minorHAnsi" w:cstheme="minorBidi"/>
          <w:szCs w:val="22"/>
        </w:rPr>
      </w:pPr>
    </w:p>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Default="0027137A" w:rsidP="0027137A"/>
    <w:p w:rsidR="0027137A" w:rsidRPr="00313AB3" w:rsidRDefault="0027137A" w:rsidP="0027137A"/>
    <w:p w:rsidR="0027137A" w:rsidRPr="008A22C6" w:rsidRDefault="0027137A" w:rsidP="0027137A"/>
    <w:p w:rsidR="0027137A" w:rsidRPr="008A22C6" w:rsidRDefault="0027137A" w:rsidP="008A22C6"/>
    <w:sectPr w:rsidR="0027137A" w:rsidRPr="008A22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83F" w:rsidRDefault="0086183F" w:rsidP="00711DF0">
      <w:r>
        <w:separator/>
      </w:r>
    </w:p>
  </w:endnote>
  <w:endnote w:type="continuationSeparator" w:id="0">
    <w:p w:rsidR="0086183F" w:rsidRDefault="0086183F" w:rsidP="00711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83F" w:rsidRPr="005D13D4" w:rsidRDefault="0086183F">
    <w:pPr>
      <w:pStyle w:val="Footer"/>
      <w:jc w:val="center"/>
      <w:rPr>
        <w:rFonts w:asciiTheme="minorHAnsi" w:hAnsiTheme="minorHAnsi" w:cstheme="minorHAnsi"/>
      </w:rPr>
    </w:pPr>
    <w:sdt>
      <w:sdtPr>
        <w:id w:val="-1175652435"/>
        <w:docPartObj>
          <w:docPartGallery w:val="Page Numbers (Bottom of Page)"/>
          <w:docPartUnique/>
        </w:docPartObj>
      </w:sdtPr>
      <w:sdtEndPr>
        <w:rPr>
          <w:rFonts w:asciiTheme="minorHAnsi" w:hAnsiTheme="minorHAnsi" w:cstheme="minorHAnsi"/>
          <w:noProof/>
        </w:rPr>
      </w:sdtEndPr>
      <w:sdtContent>
        <w:r w:rsidRPr="005D13D4">
          <w:rPr>
            <w:rFonts w:asciiTheme="minorHAnsi" w:hAnsiTheme="minorHAnsi" w:cstheme="minorHAnsi"/>
          </w:rPr>
          <w:fldChar w:fldCharType="begin"/>
        </w:r>
        <w:r w:rsidRPr="005D13D4">
          <w:rPr>
            <w:rFonts w:asciiTheme="minorHAnsi" w:hAnsiTheme="minorHAnsi" w:cstheme="minorHAnsi"/>
          </w:rPr>
          <w:instrText xml:space="preserve"> PAGE   \* MERGEFORMAT </w:instrText>
        </w:r>
        <w:r w:rsidRPr="005D13D4">
          <w:rPr>
            <w:rFonts w:asciiTheme="minorHAnsi" w:hAnsiTheme="minorHAnsi" w:cstheme="minorHAnsi"/>
          </w:rPr>
          <w:fldChar w:fldCharType="separate"/>
        </w:r>
        <w:r w:rsidR="005F300A">
          <w:rPr>
            <w:rFonts w:asciiTheme="minorHAnsi" w:hAnsiTheme="minorHAnsi" w:cstheme="minorHAnsi"/>
            <w:noProof/>
          </w:rPr>
          <w:t>7</w:t>
        </w:r>
        <w:r w:rsidRPr="005D13D4">
          <w:rPr>
            <w:rFonts w:asciiTheme="minorHAnsi" w:hAnsiTheme="minorHAnsi" w:cstheme="minorHAnsi"/>
            <w:noProof/>
          </w:rPr>
          <w:fldChar w:fldCharType="end"/>
        </w:r>
      </w:sdtContent>
    </w:sdt>
  </w:p>
  <w:p w:rsidR="0086183F" w:rsidRDefault="00861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83F" w:rsidRDefault="0086183F" w:rsidP="00711DF0">
      <w:r>
        <w:separator/>
      </w:r>
    </w:p>
  </w:footnote>
  <w:footnote w:type="continuationSeparator" w:id="0">
    <w:p w:rsidR="0086183F" w:rsidRDefault="0086183F" w:rsidP="00711DF0">
      <w:r>
        <w:continuationSeparator/>
      </w:r>
    </w:p>
  </w:footnote>
  <w:footnote w:id="1">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w:t>
      </w:r>
      <w:proofErr w:type="spellStart"/>
      <w:r w:rsidRPr="005A020D">
        <w:rPr>
          <w:sz w:val="18"/>
          <w:szCs w:val="18"/>
        </w:rPr>
        <w:t>Nomis</w:t>
      </w:r>
      <w:proofErr w:type="spellEnd"/>
      <w:r w:rsidRPr="005A020D">
        <w:rPr>
          <w:sz w:val="18"/>
          <w:szCs w:val="18"/>
        </w:rPr>
        <w:t xml:space="preserve"> (2017) </w:t>
      </w:r>
      <w:hyperlink r:id="rId1" w:anchor="tabidbr" w:history="1">
        <w:r w:rsidRPr="005A020D">
          <w:rPr>
            <w:rStyle w:val="Hyperlink"/>
            <w:sz w:val="18"/>
            <w:szCs w:val="18"/>
          </w:rPr>
          <w:t>UK Business Counts</w:t>
        </w:r>
      </w:hyperlink>
      <w:r w:rsidRPr="005A020D">
        <w:rPr>
          <w:color w:val="0000FF"/>
          <w:sz w:val="18"/>
          <w:szCs w:val="18"/>
        </w:rPr>
        <w:t xml:space="preserve"> </w:t>
      </w:r>
    </w:p>
  </w:footnote>
  <w:footnote w:id="2">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w:t>
      </w:r>
      <w:proofErr w:type="spellStart"/>
      <w:r w:rsidRPr="005A020D">
        <w:rPr>
          <w:sz w:val="18"/>
          <w:szCs w:val="18"/>
        </w:rPr>
        <w:t>Nomis</w:t>
      </w:r>
      <w:proofErr w:type="spellEnd"/>
      <w:r w:rsidRPr="005A020D">
        <w:rPr>
          <w:sz w:val="18"/>
          <w:szCs w:val="18"/>
        </w:rPr>
        <w:t xml:space="preserve"> (2017) </w:t>
      </w:r>
      <w:hyperlink r:id="rId2" w:anchor="tabjobs" w:history="1">
        <w:r w:rsidRPr="005A020D">
          <w:rPr>
            <w:rStyle w:val="Hyperlink"/>
            <w:sz w:val="18"/>
            <w:szCs w:val="18"/>
          </w:rPr>
          <w:t>Job Density</w:t>
        </w:r>
      </w:hyperlink>
    </w:p>
  </w:footnote>
  <w:footnote w:id="3">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Office of National Statistics (2011) Census Data </w:t>
      </w:r>
    </w:p>
  </w:footnote>
  <w:footnote w:id="4">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w:t>
      </w:r>
      <w:proofErr w:type="spellStart"/>
      <w:r w:rsidRPr="005A020D">
        <w:rPr>
          <w:sz w:val="18"/>
          <w:szCs w:val="18"/>
        </w:rPr>
        <w:t>Nomis</w:t>
      </w:r>
      <w:proofErr w:type="spellEnd"/>
      <w:r w:rsidRPr="005A020D">
        <w:rPr>
          <w:sz w:val="18"/>
          <w:szCs w:val="18"/>
        </w:rPr>
        <w:t xml:space="preserve"> (2017) </w:t>
      </w:r>
      <w:hyperlink r:id="rId3" w:anchor="tabquals" w:history="1">
        <w:r w:rsidRPr="005A020D">
          <w:rPr>
            <w:rStyle w:val="Hyperlink"/>
            <w:sz w:val="18"/>
            <w:szCs w:val="18"/>
          </w:rPr>
          <w:t>Qualifications January-December 2017 and Population aged 16-64</w:t>
        </w:r>
      </w:hyperlink>
    </w:p>
  </w:footnote>
  <w:footnote w:id="5">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w:t>
      </w:r>
      <w:proofErr w:type="spellStart"/>
      <w:r w:rsidRPr="005A020D">
        <w:rPr>
          <w:sz w:val="18"/>
          <w:szCs w:val="18"/>
        </w:rPr>
        <w:t>Nomis</w:t>
      </w:r>
      <w:proofErr w:type="spellEnd"/>
      <w:r w:rsidRPr="005A020D">
        <w:rPr>
          <w:sz w:val="18"/>
          <w:szCs w:val="18"/>
        </w:rPr>
        <w:t xml:space="preserve"> (2017) </w:t>
      </w:r>
      <w:hyperlink r:id="rId4" w:anchor="tabempunemp" w:history="1">
        <w:r w:rsidRPr="005A020D">
          <w:rPr>
            <w:rStyle w:val="Hyperlink"/>
            <w:sz w:val="18"/>
            <w:szCs w:val="18"/>
          </w:rPr>
          <w:t>Employment and Unemployment January-December 2017</w:t>
        </w:r>
      </w:hyperlink>
    </w:p>
  </w:footnote>
  <w:footnote w:id="6">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Centre for Cities (2016) </w:t>
      </w:r>
      <w:hyperlink r:id="rId5" w:history="1">
        <w:r w:rsidRPr="005A020D">
          <w:rPr>
            <w:rStyle w:val="Hyperlink"/>
            <w:sz w:val="18"/>
            <w:szCs w:val="18"/>
          </w:rPr>
          <w:t>Oxford Fact Sheet</w:t>
        </w:r>
      </w:hyperlink>
      <w:r w:rsidRPr="005A020D">
        <w:rPr>
          <w:sz w:val="18"/>
          <w:szCs w:val="18"/>
        </w:rPr>
        <w:t xml:space="preserve"> </w:t>
      </w:r>
    </w:p>
  </w:footnote>
  <w:footnote w:id="7">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Enterprise Research Centre </w:t>
      </w:r>
      <w:hyperlink r:id="rId6" w:history="1">
        <w:r w:rsidRPr="005A020D">
          <w:rPr>
            <w:rStyle w:val="Hyperlink"/>
            <w:sz w:val="18"/>
            <w:szCs w:val="18"/>
          </w:rPr>
          <w:t>Benchmarking Local Innovation:  The innovation geography of the UK</w:t>
        </w:r>
      </w:hyperlink>
      <w:r w:rsidRPr="005A020D">
        <w:rPr>
          <w:sz w:val="18"/>
          <w:szCs w:val="18"/>
        </w:rPr>
        <w:t xml:space="preserve"> </w:t>
      </w:r>
    </w:p>
  </w:footnote>
  <w:footnote w:id="8">
    <w:p w:rsidR="0086183F" w:rsidRPr="005A020D" w:rsidRDefault="0086183F" w:rsidP="00126779">
      <w:pPr>
        <w:pStyle w:val="FootnoteText"/>
        <w:rPr>
          <w:sz w:val="18"/>
          <w:szCs w:val="18"/>
        </w:rPr>
      </w:pPr>
      <w:r w:rsidRPr="005A020D">
        <w:rPr>
          <w:rStyle w:val="FootnoteReference"/>
          <w:sz w:val="18"/>
          <w:szCs w:val="18"/>
        </w:rPr>
        <w:footnoteRef/>
      </w:r>
      <w:r w:rsidRPr="005A020D">
        <w:rPr>
          <w:sz w:val="18"/>
          <w:szCs w:val="18"/>
        </w:rPr>
        <w:t xml:space="preserve"> BIGGAR Economics (2017) </w:t>
      </w:r>
      <w:hyperlink r:id="rId7" w:history="1">
        <w:r w:rsidRPr="005A020D">
          <w:rPr>
            <w:rStyle w:val="Hyperlink"/>
            <w:sz w:val="18"/>
            <w:szCs w:val="18"/>
          </w:rPr>
          <w:t>The Economic Impact of the University of Oxford</w:t>
        </w:r>
      </w:hyperlink>
      <w:r w:rsidRPr="005A020D">
        <w:rPr>
          <w:sz w:val="18"/>
          <w:szCs w:val="18"/>
        </w:rPr>
        <w:t xml:space="preserve"> </w:t>
      </w:r>
    </w:p>
  </w:footnote>
  <w:footnote w:id="9">
    <w:p w:rsidR="0086183F" w:rsidRDefault="0086183F" w:rsidP="00126779">
      <w:pPr>
        <w:pStyle w:val="FootnoteText"/>
      </w:pPr>
      <w:r w:rsidRPr="005A020D">
        <w:rPr>
          <w:rStyle w:val="FootnoteReference"/>
          <w:sz w:val="18"/>
          <w:szCs w:val="18"/>
        </w:rPr>
        <w:footnoteRef/>
      </w:r>
      <w:r w:rsidRPr="005A020D">
        <w:rPr>
          <w:sz w:val="18"/>
          <w:szCs w:val="18"/>
        </w:rPr>
        <w:t xml:space="preserve"> Oxford City Council (2018) </w:t>
      </w:r>
      <w:hyperlink r:id="rId8" w:history="1">
        <w:r w:rsidRPr="005A020D">
          <w:rPr>
            <w:rStyle w:val="Hyperlink"/>
            <w:sz w:val="18"/>
            <w:szCs w:val="18"/>
          </w:rPr>
          <w:t>Oxford Economic Profile</w:t>
        </w:r>
      </w:hyperlink>
      <w:r>
        <w:t xml:space="preserve"> </w:t>
      </w:r>
    </w:p>
  </w:footnote>
  <w:footnote w:id="10">
    <w:p w:rsidR="0086183F" w:rsidRDefault="0086183F" w:rsidP="00126779">
      <w:pPr>
        <w:pStyle w:val="FootnoteText"/>
      </w:pPr>
      <w:r w:rsidRPr="005A020D">
        <w:rPr>
          <w:rStyle w:val="FootnoteReference"/>
          <w:sz w:val="18"/>
        </w:rPr>
        <w:footnoteRef/>
      </w:r>
      <w:r w:rsidRPr="005A020D">
        <w:rPr>
          <w:sz w:val="18"/>
        </w:rPr>
        <w:t xml:space="preserve"> </w:t>
      </w:r>
      <w:r w:rsidRPr="005A020D">
        <w:rPr>
          <w:rFonts w:eastAsia="Calibri" w:cs="Times New Roman"/>
          <w:sz w:val="18"/>
          <w:szCs w:val="22"/>
        </w:rPr>
        <w:t>Estimates for the West End and Northern Gateway have been included in the totals column as the exact breakdown between uses is unknown at present.</w:t>
      </w:r>
    </w:p>
  </w:footnote>
  <w:footnote w:id="11">
    <w:p w:rsidR="0086183F" w:rsidRPr="005A020D" w:rsidRDefault="0086183F" w:rsidP="00126779">
      <w:pPr>
        <w:pStyle w:val="FootnoteText"/>
        <w:rPr>
          <w:sz w:val="18"/>
        </w:rPr>
      </w:pPr>
      <w:r w:rsidRPr="005A020D">
        <w:rPr>
          <w:rStyle w:val="FootnoteReference"/>
          <w:sz w:val="18"/>
        </w:rPr>
        <w:footnoteRef/>
      </w:r>
      <w:r w:rsidRPr="005A020D">
        <w:rPr>
          <w:sz w:val="18"/>
        </w:rPr>
        <w:t xml:space="preserve"> Blackbird Leys is a new district centre designated by the Core Strategy and therefore targets from Saved Local Plan Policies do not apply.</w:t>
      </w:r>
    </w:p>
  </w:footnote>
  <w:footnote w:id="12">
    <w:p w:rsidR="0086183F" w:rsidRDefault="0086183F" w:rsidP="00126779">
      <w:pPr>
        <w:pStyle w:val="FootnoteText"/>
      </w:pPr>
      <w:r w:rsidRPr="005A020D">
        <w:rPr>
          <w:rStyle w:val="FootnoteReference"/>
          <w:sz w:val="18"/>
        </w:rPr>
        <w:footnoteRef/>
      </w:r>
      <w:r w:rsidRPr="005A020D">
        <w:rPr>
          <w:sz w:val="18"/>
        </w:rPr>
        <w:t xml:space="preserve"> 2015/16 and 2016/17 figures for the city centre primary shopping frontage exclude the Westgate Centre as this this was being redeveloped during this period.</w:t>
      </w:r>
    </w:p>
  </w:footnote>
  <w:footnote w:id="13">
    <w:p w:rsidR="0086183F" w:rsidRDefault="0086183F" w:rsidP="00126779">
      <w:pPr>
        <w:pStyle w:val="FootnoteText"/>
      </w:pPr>
      <w:r w:rsidRPr="005A020D">
        <w:rPr>
          <w:rStyle w:val="FootnoteReference"/>
          <w:sz w:val="18"/>
        </w:rPr>
        <w:footnoteRef/>
      </w:r>
      <w:r w:rsidRPr="005A020D">
        <w:rPr>
          <w:sz w:val="18"/>
        </w:rPr>
        <w:t xml:space="preserve"> 2015/16 and 2016/17 figures for the city centre primary shopping frontage exclude the Westgate Centre as this this was being redeveloped during this period.</w:t>
      </w:r>
    </w:p>
  </w:footnote>
  <w:footnote w:id="14">
    <w:p w:rsidR="0086183F" w:rsidRDefault="0086183F" w:rsidP="00126779">
      <w:pPr>
        <w:pStyle w:val="FootnoteText"/>
      </w:pPr>
      <w:r>
        <w:rPr>
          <w:rStyle w:val="FootnoteReference"/>
        </w:rPr>
        <w:footnoteRef/>
      </w:r>
      <w:r>
        <w:t xml:space="preserve"> Office of National Statistics (2011) UK Census data</w:t>
      </w:r>
    </w:p>
  </w:footnote>
  <w:footnote w:id="15">
    <w:p w:rsidR="0086183F" w:rsidRDefault="0086183F" w:rsidP="00126779">
      <w:pPr>
        <w:pStyle w:val="FootnoteText"/>
      </w:pPr>
      <w:r>
        <w:rPr>
          <w:rStyle w:val="FootnoteReference"/>
        </w:rPr>
        <w:footnoteRef/>
      </w:r>
      <w:r>
        <w:t xml:space="preserve"> Oxford City Council (2017)</w:t>
      </w:r>
      <w:r w:rsidRPr="00DF6573">
        <w:t xml:space="preserve"> </w:t>
      </w:r>
      <w:hyperlink r:id="rId9" w:history="1">
        <w:r w:rsidRPr="00A7731A">
          <w:rPr>
            <w:rStyle w:val="Hyperlink"/>
          </w:rPr>
          <w:t>Housing Needs Performance – how did we do in 2017/18?</w:t>
        </w:r>
      </w:hyperlink>
    </w:p>
  </w:footnote>
  <w:footnote w:id="16">
    <w:p w:rsidR="0086183F" w:rsidRDefault="0086183F" w:rsidP="00126779">
      <w:pPr>
        <w:pStyle w:val="FootnoteText"/>
      </w:pPr>
      <w:r>
        <w:rPr>
          <w:rStyle w:val="FootnoteReference"/>
        </w:rPr>
        <w:footnoteRef/>
      </w:r>
      <w:r>
        <w:t xml:space="preserve"> Oxford City Council (2017) </w:t>
      </w:r>
      <w:hyperlink r:id="rId10" w:history="1">
        <w:r w:rsidRPr="00A7731A">
          <w:rPr>
            <w:rStyle w:val="Hyperlink"/>
          </w:rPr>
          <w:t>Housing Needs Performance – how did we do in 2017/18?</w:t>
        </w:r>
      </w:hyperlink>
    </w:p>
  </w:footnote>
  <w:footnote w:id="17">
    <w:p w:rsidR="0086183F" w:rsidRDefault="0086183F" w:rsidP="00126779">
      <w:pPr>
        <w:pStyle w:val="FootnoteText"/>
      </w:pPr>
      <w:r>
        <w:rPr>
          <w:rStyle w:val="FootnoteReference"/>
        </w:rPr>
        <w:footnoteRef/>
      </w:r>
      <w:r>
        <w:t xml:space="preserve"> Centre for Cities (2016) </w:t>
      </w:r>
      <w:hyperlink r:id="rId11" w:anchor="graph=map&amp;city=show-all" w:history="1">
        <w:r w:rsidRPr="00D0630D">
          <w:rPr>
            <w:rStyle w:val="Hyperlink"/>
          </w:rPr>
          <w:t>http://www.centreforcities.org/data-tool/#graph=map&amp;city=show-all</w:t>
        </w:r>
      </w:hyperlink>
      <w:r w:rsidRPr="00DF6573">
        <w:t xml:space="preserve"> </w:t>
      </w:r>
    </w:p>
  </w:footnote>
  <w:footnote w:id="18">
    <w:p w:rsidR="0086183F" w:rsidRDefault="0086183F" w:rsidP="00126779">
      <w:pPr>
        <w:pStyle w:val="FootnoteText"/>
      </w:pPr>
      <w:r>
        <w:rPr>
          <w:rStyle w:val="FootnoteReference"/>
        </w:rPr>
        <w:footnoteRef/>
      </w:r>
      <w:r>
        <w:t xml:space="preserve"> Planning Practice Guidance: Housing and economic land availability assessment: </w:t>
      </w:r>
      <w:hyperlink r:id="rId12" w:history="1">
        <w:r w:rsidRPr="00D0630D">
          <w:rPr>
            <w:rStyle w:val="Hyperlink"/>
          </w:rPr>
          <w:t>Methodology – Stage 5: Final evidence base: Paragraph 037 Reference ID: 3-037-20150320: How should local planning authorities deal with student housing?</w:t>
        </w:r>
      </w:hyperlink>
    </w:p>
  </w:footnote>
  <w:footnote w:id="19">
    <w:p w:rsidR="0086183F" w:rsidRDefault="0086183F" w:rsidP="00126779">
      <w:pPr>
        <w:pStyle w:val="FootnoteText"/>
      </w:pPr>
      <w:r>
        <w:rPr>
          <w:rStyle w:val="FootnoteReference"/>
        </w:rPr>
        <w:footnoteRef/>
      </w:r>
      <w:r>
        <w:t xml:space="preserve"> Planning Practice Guidance: Housing and economic land availability assessment: </w:t>
      </w:r>
      <w:hyperlink r:id="rId13" w:history="1">
        <w:r w:rsidRPr="00D0630D">
          <w:rPr>
            <w:rStyle w:val="Hyperlink"/>
          </w:rPr>
          <w:t>Methodology – Stage 5: Final evidence base: Paragraph 037 Reference ID: 3-037-20150320: How should local planning authorities deal with housing for older people?</w:t>
        </w:r>
      </w:hyperlink>
    </w:p>
  </w:footnote>
  <w:footnote w:id="20">
    <w:p w:rsidR="0086183F" w:rsidRDefault="0086183F" w:rsidP="00126779">
      <w:pPr>
        <w:pStyle w:val="FootnoteText"/>
      </w:pPr>
      <w:r>
        <w:rPr>
          <w:rStyle w:val="FootnoteReference"/>
        </w:rPr>
        <w:footnoteRef/>
      </w:r>
      <w:r>
        <w:t xml:space="preserve"> This indicator was added to the AMR in 2015/16 following a recommendation put forward by the Scrutiny Committee which was agreed by the </w:t>
      </w:r>
      <w:r w:rsidRPr="00182F39">
        <w:t>City Executive Board</w:t>
      </w:r>
      <w:r>
        <w:t xml:space="preserve"> on </w:t>
      </w:r>
      <w:hyperlink r:id="rId14" w:history="1">
        <w:r w:rsidRPr="00D0630D">
          <w:rPr>
            <w:rStyle w:val="Hyperlink"/>
          </w:rPr>
          <w:t>12 November 2015</w:t>
        </w:r>
      </w:hyperlink>
      <w:r w:rsidRPr="005A4CD0">
        <w:rPr>
          <w:rStyle w:val="Hyperlink"/>
        </w:rPr>
        <w:t xml:space="preserve">. </w:t>
      </w:r>
    </w:p>
  </w:footnote>
  <w:footnote w:id="21">
    <w:p w:rsidR="0086183F" w:rsidRDefault="0086183F" w:rsidP="00126779">
      <w:pPr>
        <w:pStyle w:val="FootnoteText"/>
      </w:pPr>
    </w:p>
    <w:p w:rsidR="0086183F" w:rsidRDefault="0086183F" w:rsidP="00126779">
      <w:pPr>
        <w:pStyle w:val="FootnoteText"/>
      </w:pPr>
    </w:p>
  </w:footnote>
  <w:footnote w:id="22">
    <w:p w:rsidR="0086183F" w:rsidRDefault="0086183F" w:rsidP="00126779">
      <w:pPr>
        <w:pStyle w:val="FootnoteText"/>
      </w:pPr>
      <w:r>
        <w:rPr>
          <w:rStyle w:val="FootnoteReference"/>
        </w:rPr>
        <w:footnoteRef/>
      </w:r>
      <w:r>
        <w:t xml:space="preserve"> This indicator was added to the AMR following a recommendation put forward by the Scrutiny   Committee which was agreed by the </w:t>
      </w:r>
      <w:r w:rsidRPr="00182F39">
        <w:t>City Executive Board</w:t>
      </w:r>
      <w:r>
        <w:t xml:space="preserve"> on </w:t>
      </w:r>
      <w:hyperlink r:id="rId15" w:history="1">
        <w:r w:rsidRPr="00D0630D">
          <w:rPr>
            <w:rStyle w:val="Hyperlink"/>
          </w:rPr>
          <w:t>12 November 2015</w:t>
        </w:r>
      </w:hyperlink>
      <w:r>
        <w:t>.</w:t>
      </w:r>
    </w:p>
  </w:footnote>
  <w:footnote w:id="23">
    <w:p w:rsidR="0086183F" w:rsidRDefault="0086183F" w:rsidP="00126779">
      <w:pPr>
        <w:pStyle w:val="FootnoteText"/>
      </w:pPr>
      <w:r>
        <w:rPr>
          <w:rStyle w:val="FootnoteReference"/>
        </w:rPr>
        <w:footnoteRef/>
      </w:r>
      <w:r>
        <w:t xml:space="preserve"> This was originally a temporary change introduced by </w:t>
      </w:r>
      <w:r w:rsidRPr="00517CFA">
        <w:t>The Town and Country Planning (General Permitted</w:t>
      </w:r>
      <w:r>
        <w:t xml:space="preserve"> </w:t>
      </w:r>
      <w:r w:rsidRPr="00517CFA">
        <w:t>Development) (Amendment) (England) Order 2013</w:t>
      </w:r>
      <w:r>
        <w:t xml:space="preserve">. It was then made permanent by </w:t>
      </w:r>
      <w:r w:rsidRPr="00685ECD">
        <w:t>The Town and Country Planning (General Permitted Development) (England) (Amendment) Order 2016</w:t>
      </w:r>
      <w:r>
        <w:t xml:space="preserve">. </w:t>
      </w:r>
    </w:p>
  </w:footnote>
  <w:footnote w:id="24">
    <w:p w:rsidR="0086183F" w:rsidRDefault="0086183F" w:rsidP="00126779">
      <w:pPr>
        <w:pStyle w:val="FootnoteText"/>
      </w:pPr>
      <w:r>
        <w:rPr>
          <w:rStyle w:val="FootnoteReference"/>
        </w:rPr>
        <w:footnoteRef/>
      </w:r>
      <w:r>
        <w:t xml:space="preserve"> The consideration of noise impacts from surrounding commercial premises on the intended occupiers of the proposed dwelling(s) is a new requirement introduced by the 2016 amendments to the GPDO.</w:t>
      </w:r>
    </w:p>
  </w:footnote>
  <w:footnote w:id="25">
    <w:p w:rsidR="0086183F" w:rsidRDefault="0086183F" w:rsidP="00126779">
      <w:pPr>
        <w:pStyle w:val="FootnoteText"/>
      </w:pPr>
      <w:r>
        <w:rPr>
          <w:rStyle w:val="FootnoteReference"/>
        </w:rPr>
        <w:footnoteRef/>
      </w:r>
      <w:r>
        <w:t xml:space="preserve"> This is a requirement of the Self-build and Custom Housebuilding Act 2015.</w:t>
      </w:r>
    </w:p>
  </w:footnote>
  <w:footnote w:id="26">
    <w:p w:rsidR="0086183F" w:rsidRDefault="0086183F" w:rsidP="00126779">
      <w:pPr>
        <w:pStyle w:val="FootnoteText"/>
      </w:pPr>
      <w:r>
        <w:rPr>
          <w:rStyle w:val="FootnoteReference"/>
        </w:rPr>
        <w:footnoteRef/>
      </w:r>
      <w:r>
        <w:t xml:space="preserve"> </w:t>
      </w:r>
      <w:proofErr w:type="spellStart"/>
      <w:r>
        <w:t>Nomis</w:t>
      </w:r>
      <w:proofErr w:type="spellEnd"/>
      <w:r>
        <w:t xml:space="preserve"> (2018) </w:t>
      </w:r>
      <w:hyperlink r:id="rId16" w:history="1">
        <w:r w:rsidRPr="00B34952">
          <w:rPr>
            <w:rStyle w:val="Hyperlink"/>
          </w:rPr>
          <w:t>Total population</w:t>
        </w:r>
      </w:hyperlink>
    </w:p>
  </w:footnote>
  <w:footnote w:id="27">
    <w:p w:rsidR="0086183F" w:rsidRDefault="0086183F" w:rsidP="00126779">
      <w:pPr>
        <w:pStyle w:val="FootnoteText"/>
      </w:pPr>
      <w:r>
        <w:rPr>
          <w:rStyle w:val="FootnoteReference"/>
        </w:rPr>
        <w:footnoteRef/>
      </w:r>
      <w:r>
        <w:t xml:space="preserve"> </w:t>
      </w:r>
      <w:hyperlink r:id="rId17" w:history="1">
        <w:r w:rsidRPr="00CC3D19">
          <w:rPr>
            <w:rStyle w:val="Hyperlink"/>
          </w:rPr>
          <w:t>Oxford Profile 2018</w:t>
        </w:r>
      </w:hyperlink>
    </w:p>
  </w:footnote>
  <w:footnote w:id="28">
    <w:p w:rsidR="0086183F" w:rsidRDefault="0086183F" w:rsidP="00126779">
      <w:pPr>
        <w:pStyle w:val="FootnoteText"/>
      </w:pPr>
      <w:r>
        <w:rPr>
          <w:rStyle w:val="FootnoteReference"/>
        </w:rPr>
        <w:footnoteRef/>
      </w:r>
      <w:r>
        <w:t xml:space="preserve"> Oxford City Council (2016) </w:t>
      </w:r>
      <w:hyperlink r:id="rId18" w:history="1">
        <w:r w:rsidRPr="00FC7154">
          <w:rPr>
            <w:rStyle w:val="Hyperlink"/>
          </w:rPr>
          <w:t>Corporate Plan 2016-20</w:t>
        </w:r>
      </w:hyperlink>
    </w:p>
  </w:footnote>
  <w:footnote w:id="29">
    <w:p w:rsidR="0086183F" w:rsidRDefault="0086183F" w:rsidP="00126779">
      <w:pPr>
        <w:pStyle w:val="FootnoteText"/>
      </w:pPr>
      <w:r>
        <w:rPr>
          <w:rStyle w:val="FootnoteReference"/>
        </w:rPr>
        <w:footnoteRef/>
      </w:r>
      <w:r>
        <w:t xml:space="preserve"> </w:t>
      </w:r>
      <w:hyperlink r:id="rId19" w:history="1">
        <w:r w:rsidRPr="00CC3D19">
          <w:rPr>
            <w:rStyle w:val="Hyperlink"/>
          </w:rPr>
          <w:t>Oxford Profile 2018</w:t>
        </w:r>
      </w:hyperlink>
    </w:p>
  </w:footnote>
  <w:footnote w:id="30">
    <w:p w:rsidR="0086183F" w:rsidRDefault="0086183F" w:rsidP="00126779">
      <w:pPr>
        <w:pStyle w:val="FootnoteText"/>
      </w:pPr>
      <w:r>
        <w:rPr>
          <w:rStyle w:val="FootnoteReference"/>
        </w:rPr>
        <w:footnoteRef/>
      </w:r>
      <w:r>
        <w:t xml:space="preserve"> Office of National Statistics (2011) UK Census Data</w:t>
      </w:r>
    </w:p>
  </w:footnote>
  <w:footnote w:id="31">
    <w:p w:rsidR="0086183F" w:rsidRDefault="0086183F" w:rsidP="00126779">
      <w:pPr>
        <w:pStyle w:val="FootnoteText"/>
      </w:pPr>
      <w:r>
        <w:rPr>
          <w:rStyle w:val="FootnoteReference"/>
        </w:rPr>
        <w:footnoteRef/>
      </w:r>
      <w:r>
        <w:t xml:space="preserve"> Oxford City Council (May 2015) </w:t>
      </w:r>
      <w:hyperlink r:id="rId20" w:history="1">
        <w:r w:rsidRPr="006B6383">
          <w:rPr>
            <w:rStyle w:val="Hyperlink"/>
          </w:rPr>
          <w:t>Poverty and deprivation statistics</w:t>
        </w:r>
      </w:hyperlink>
      <w:r>
        <w:t xml:space="preserve"> </w:t>
      </w:r>
    </w:p>
  </w:footnote>
  <w:footnote w:id="32">
    <w:p w:rsidR="0086183F" w:rsidRDefault="0086183F" w:rsidP="00126779">
      <w:pPr>
        <w:pStyle w:val="FootnoteText"/>
      </w:pPr>
      <w:r>
        <w:rPr>
          <w:rStyle w:val="FootnoteReference"/>
        </w:rPr>
        <w:footnoteRef/>
      </w:r>
      <w:r>
        <w:t xml:space="preserve"> Planning application references 16/02588/CT3 (2 to 24 Stowford Road), 16/02596/CT3 (26 to 60 Stowford Road), and 16/02597/CT3 (55 to 89 Bayswater Road).</w:t>
      </w:r>
    </w:p>
  </w:footnote>
  <w:footnote w:id="33">
    <w:p w:rsidR="0086183F" w:rsidRDefault="0086183F" w:rsidP="00126779">
      <w:pPr>
        <w:pStyle w:val="FootnoteText"/>
      </w:pPr>
      <w:r>
        <w:rPr>
          <w:rStyle w:val="FootnoteReference"/>
        </w:rPr>
        <w:footnoteRef/>
      </w:r>
      <w:r>
        <w:t xml:space="preserve"> Planning application references 16/02802/CT3 (78-100 Barton Road), 16/02803/CT3 (102-112 Barton Road) and 16/02804/CT3 (114-136 Barton Road).</w:t>
      </w:r>
    </w:p>
  </w:footnote>
  <w:footnote w:id="34">
    <w:p w:rsidR="0086183F" w:rsidRDefault="0086183F" w:rsidP="00126779">
      <w:pPr>
        <w:pStyle w:val="FootnoteText"/>
      </w:pPr>
      <w:r>
        <w:rPr>
          <w:rStyle w:val="FootnoteReference"/>
        </w:rPr>
        <w:footnoteRef/>
      </w:r>
      <w:r>
        <w:t xml:space="preserve"> Planning application reference 17/01507/CT3. </w:t>
      </w:r>
    </w:p>
  </w:footnote>
  <w:footnote w:id="35">
    <w:p w:rsidR="0086183F" w:rsidRDefault="0086183F" w:rsidP="00126779">
      <w:pPr>
        <w:pStyle w:val="FootnoteText"/>
      </w:pPr>
      <w:r>
        <w:rPr>
          <w:rStyle w:val="FootnoteReference"/>
        </w:rPr>
        <w:footnoteRef/>
      </w:r>
      <w:r>
        <w:t xml:space="preserve"> Planning application reference </w:t>
      </w:r>
      <w:r w:rsidRPr="00736ED1">
        <w:rPr>
          <w:rFonts w:eastAsia="Times New Roman" w:cs="Calibri"/>
          <w:color w:val="000000"/>
          <w:lang w:eastAsia="en-GB"/>
        </w:rPr>
        <w:t>12/03278/FUL</w:t>
      </w:r>
      <w:r>
        <w:rPr>
          <w:rFonts w:eastAsia="Times New Roman" w:cs="Calibri"/>
          <w:color w:val="000000"/>
          <w:lang w:eastAsia="en-GB"/>
        </w:rPr>
        <w:t xml:space="preserve"> (Barns Place). </w:t>
      </w:r>
    </w:p>
  </w:footnote>
  <w:footnote w:id="36">
    <w:p w:rsidR="0086183F" w:rsidRDefault="0086183F" w:rsidP="00126779">
      <w:pPr>
        <w:pStyle w:val="FootnoteText"/>
      </w:pPr>
      <w:r>
        <w:rPr>
          <w:rStyle w:val="FootnoteReference"/>
        </w:rPr>
        <w:footnoteRef/>
      </w:r>
      <w:r>
        <w:t xml:space="preserve"> Planning application reference 16/03006/FUL (Templars Square). </w:t>
      </w:r>
    </w:p>
  </w:footnote>
  <w:footnote w:id="37">
    <w:p w:rsidR="0086183F" w:rsidRDefault="0086183F" w:rsidP="00126779">
      <w:pPr>
        <w:pStyle w:val="FootnoteText"/>
      </w:pPr>
      <w:r>
        <w:rPr>
          <w:rStyle w:val="FootnoteReference"/>
        </w:rPr>
        <w:footnoteRef/>
      </w:r>
      <w:r>
        <w:t xml:space="preserve"> This application was considered by the East Area Planning Committee on Wednesday 5 July 2017.</w:t>
      </w:r>
    </w:p>
  </w:footnote>
  <w:footnote w:id="38">
    <w:p w:rsidR="0086183F" w:rsidRDefault="0086183F" w:rsidP="00126779">
      <w:pPr>
        <w:pStyle w:val="FootnoteText"/>
      </w:pPr>
      <w:r>
        <w:rPr>
          <w:rStyle w:val="FootnoteReference"/>
        </w:rPr>
        <w:footnoteRef/>
      </w:r>
      <w:r>
        <w:t xml:space="preserve"> Planning application reference 14/02256/FUL.</w:t>
      </w:r>
    </w:p>
  </w:footnote>
  <w:footnote w:id="39">
    <w:p w:rsidR="0086183F" w:rsidRDefault="0086183F" w:rsidP="00126779">
      <w:pPr>
        <w:pStyle w:val="FootnoteText"/>
      </w:pPr>
      <w:r>
        <w:rPr>
          <w:rStyle w:val="FootnoteReference"/>
        </w:rPr>
        <w:footnoteRef/>
      </w:r>
      <w:r>
        <w:t xml:space="preserve"> Planning application reference 16/02945/FUL (Oxford Business Centre)</w:t>
      </w:r>
    </w:p>
  </w:footnote>
  <w:footnote w:id="40">
    <w:p w:rsidR="0086183F" w:rsidRDefault="0086183F" w:rsidP="00126779">
      <w:pPr>
        <w:pStyle w:val="FootnoteText"/>
      </w:pPr>
      <w:r>
        <w:rPr>
          <w:rStyle w:val="FootnoteReference"/>
        </w:rPr>
        <w:footnoteRef/>
      </w:r>
      <w:r>
        <w:t xml:space="preserve"> Planning application reference 13/01383/OUT (Barton Park outline planning permission).</w:t>
      </w:r>
    </w:p>
  </w:footnote>
  <w:footnote w:id="41">
    <w:p w:rsidR="0086183F" w:rsidRPr="00562A10" w:rsidRDefault="0086183F" w:rsidP="00126779">
      <w:pPr>
        <w:rPr>
          <w:rFonts w:ascii="Times New Roman" w:eastAsia="Times New Roman" w:hAnsi="Times New Roman" w:cs="Times New Roman"/>
          <w:sz w:val="24"/>
          <w:lang w:eastAsia="en-GB"/>
        </w:rPr>
      </w:pPr>
      <w:r>
        <w:rPr>
          <w:rStyle w:val="FootnoteReference"/>
        </w:rPr>
        <w:footnoteRef/>
      </w:r>
      <w:r>
        <w:t xml:space="preserve"> </w:t>
      </w:r>
      <w:r w:rsidRPr="00ED326E">
        <w:rPr>
          <w:sz w:val="20"/>
        </w:rPr>
        <w:t>Planning application reference 14/03201/RES</w:t>
      </w:r>
      <w:r>
        <w:rPr>
          <w:sz w:val="20"/>
        </w:rPr>
        <w:t xml:space="preserve"> (Barton Park enabling works).</w:t>
      </w:r>
    </w:p>
  </w:footnote>
  <w:footnote w:id="42">
    <w:p w:rsidR="0086183F" w:rsidRDefault="0086183F" w:rsidP="00126779">
      <w:pPr>
        <w:pStyle w:val="FootnoteText"/>
      </w:pPr>
      <w:r>
        <w:rPr>
          <w:rStyle w:val="FootnoteReference"/>
        </w:rPr>
        <w:footnoteRef/>
      </w:r>
      <w:r>
        <w:t xml:space="preserve"> Planning application reference </w:t>
      </w:r>
      <w:r w:rsidRPr="00983FF9">
        <w:t>15/03642/RES</w:t>
      </w:r>
      <w:r>
        <w:t xml:space="preserve"> (Barton Park Phase1).</w:t>
      </w:r>
    </w:p>
  </w:footnote>
  <w:footnote w:id="43">
    <w:p w:rsidR="0086183F" w:rsidRDefault="0086183F" w:rsidP="00126779">
      <w:pPr>
        <w:pStyle w:val="FootnoteText"/>
      </w:pPr>
      <w:r>
        <w:rPr>
          <w:rStyle w:val="FootnoteReference"/>
        </w:rPr>
        <w:footnoteRef/>
      </w:r>
      <w:r>
        <w:t xml:space="preserve"> Planning application references 16/00067/RES (Barton Park community sports facilities) and 16/02002/RES (Barton Park Community Sports Pavilion). </w:t>
      </w:r>
    </w:p>
  </w:footnote>
  <w:footnote w:id="44">
    <w:p w:rsidR="0086183F" w:rsidRDefault="0086183F" w:rsidP="00126779">
      <w:pPr>
        <w:pStyle w:val="FootnoteText"/>
      </w:pPr>
      <w:r w:rsidRPr="00271CEF">
        <w:rPr>
          <w:vertAlign w:val="superscript"/>
        </w:rPr>
        <w:footnoteRef/>
      </w:r>
      <w:r w:rsidRPr="00271CEF">
        <w:t xml:space="preserve"> Oxford City Council (2016) </w:t>
      </w:r>
      <w:hyperlink r:id="rId21"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5)</w:t>
      </w:r>
    </w:p>
  </w:footnote>
  <w:footnote w:id="45">
    <w:p w:rsidR="0086183F" w:rsidRPr="006C5960" w:rsidRDefault="0086183F" w:rsidP="00126779">
      <w:pPr>
        <w:pStyle w:val="FootnoteText"/>
      </w:pPr>
      <w:r w:rsidRPr="006C5960">
        <w:rPr>
          <w:rStyle w:val="FootnoteReference"/>
        </w:rPr>
        <w:footnoteRef/>
      </w:r>
      <w:r w:rsidRPr="006C5960">
        <w:t xml:space="preserve"> </w:t>
      </w:r>
      <w:r w:rsidRPr="00271CEF">
        <w:t xml:space="preserve">Oxford City Council (2016) </w:t>
      </w:r>
      <w:hyperlink r:id="rId22"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8) </w:t>
      </w:r>
    </w:p>
  </w:footnote>
  <w:footnote w:id="46">
    <w:p w:rsidR="0086183F" w:rsidRDefault="0086183F" w:rsidP="00126779">
      <w:pPr>
        <w:pStyle w:val="FootnoteText"/>
      </w:pPr>
      <w:r w:rsidRPr="006C5960">
        <w:rPr>
          <w:rStyle w:val="FootnoteReference"/>
        </w:rPr>
        <w:footnoteRef/>
      </w:r>
      <w:r w:rsidRPr="006C5960">
        <w:t xml:space="preserve"> </w:t>
      </w:r>
      <w:r w:rsidRPr="00271CEF">
        <w:t xml:space="preserve">Oxford City Council (2016) </w:t>
      </w:r>
      <w:hyperlink r:id="rId23"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w:t>
      </w:r>
      <w:r w:rsidRPr="006C5960">
        <w:t xml:space="preserve"> 13</w:t>
      </w:r>
      <w:r>
        <w:t>)</w:t>
      </w:r>
    </w:p>
  </w:footnote>
  <w:footnote w:id="47">
    <w:p w:rsidR="0086183F" w:rsidRDefault="0086183F" w:rsidP="00126779">
      <w:pPr>
        <w:pStyle w:val="FootnoteText"/>
      </w:pPr>
      <w:r>
        <w:rPr>
          <w:rStyle w:val="FootnoteReference"/>
        </w:rPr>
        <w:footnoteRef/>
      </w:r>
      <w:r>
        <w:t xml:space="preserve"> </w:t>
      </w:r>
      <w:r w:rsidRPr="00271CEF">
        <w:t xml:space="preserve">Oxford City Council (2013) </w:t>
      </w:r>
      <w:hyperlink r:id="rId24" w:history="1">
        <w:r w:rsidRPr="00271CEF">
          <w:rPr>
            <w:rStyle w:val="Hyperlink"/>
          </w:rPr>
          <w:t>Green Spaces Strategy 2013-2027</w:t>
        </w:r>
      </w:hyperlink>
      <w:r>
        <w:rPr>
          <w:rStyle w:val="Hyperlink"/>
        </w:rPr>
        <w:t xml:space="preserve"> (</w:t>
      </w:r>
      <w:r>
        <w:t>Appendix 1)</w:t>
      </w:r>
    </w:p>
  </w:footnote>
  <w:footnote w:id="48">
    <w:p w:rsidR="0086183F" w:rsidRDefault="0086183F" w:rsidP="0027137A">
      <w:pPr>
        <w:pStyle w:val="FootnoteText"/>
        <w:ind w:left="142" w:hanging="142"/>
      </w:pPr>
      <w:r>
        <w:rPr>
          <w:rStyle w:val="FootnoteReference"/>
        </w:rPr>
        <w:footnoteRef/>
      </w:r>
      <w:r>
        <w:t xml:space="preserve"> The Community Infrastructure Levy Charging Schedule (October 2013) sets out which developments are liable for CIL and how CIL is calculated.</w:t>
      </w:r>
    </w:p>
  </w:footnote>
  <w:footnote w:id="49">
    <w:p w:rsidR="0086183F" w:rsidRDefault="0086183F" w:rsidP="003156B8">
      <w:pPr>
        <w:pStyle w:val="FootnoteText"/>
      </w:pPr>
      <w:r>
        <w:rPr>
          <w:rStyle w:val="FootnoteReference"/>
        </w:rPr>
        <w:footnoteRef/>
      </w:r>
      <w:r>
        <w:t xml:space="preserve"> Oxford Spires Academy – provision of a new gym with community access.</w:t>
      </w:r>
    </w:p>
    <w:p w:rsidR="0086183F" w:rsidRDefault="0086183F" w:rsidP="003156B8">
      <w:pPr>
        <w:pStyle w:val="FootnoteText"/>
      </w:pPr>
      <w:proofErr w:type="gramStart"/>
      <w:r>
        <w:rPr>
          <w:vertAlign w:val="superscript"/>
        </w:rPr>
        <w:t xml:space="preserve">2 </w:t>
      </w:r>
      <w:r>
        <w:t xml:space="preserve"> 1</w:t>
      </w:r>
      <w:proofErr w:type="gramEnd"/>
      <w:r>
        <w:t xml:space="preserve">. </w:t>
      </w:r>
      <w:r w:rsidRPr="0059316B">
        <w:t>Oxford &amp; Abingdon Flood Alleviation Scheme 2.Quarry Pavilion</w:t>
      </w:r>
      <w:r>
        <w:t xml:space="preserve"> construction</w:t>
      </w:r>
    </w:p>
    <w:p w:rsidR="0086183F" w:rsidRDefault="0086183F" w:rsidP="003156B8">
      <w:pPr>
        <w:pStyle w:val="FootnoteText"/>
      </w:pPr>
      <w:r>
        <w:rPr>
          <w:vertAlign w:val="superscript"/>
        </w:rPr>
        <w:t>3</w:t>
      </w:r>
      <w:r>
        <w:t xml:space="preserve"> 1. </w:t>
      </w:r>
      <w:r w:rsidRPr="00C22FDF">
        <w:t>Oxford &amp; Abingdon Flood Alleviation Scheme</w:t>
      </w:r>
      <w:r>
        <w:t xml:space="preserve"> 2.</w:t>
      </w:r>
      <w:r w:rsidRPr="00C22FDF">
        <w:t xml:space="preserve"> Quarry Pavilion construction</w:t>
      </w:r>
    </w:p>
    <w:p w:rsidR="0086183F" w:rsidRPr="00C22FDF" w:rsidRDefault="0086183F" w:rsidP="003156B8">
      <w:pPr>
        <w:pStyle w:val="FootnoteText"/>
      </w:pPr>
      <w:r>
        <w:rPr>
          <w:vertAlign w:val="superscript"/>
        </w:rPr>
        <w:t>4</w:t>
      </w:r>
      <w:r w:rsidRPr="00ED0B08">
        <w:t xml:space="preserve"> £2500 was passed to each ward councillor in non-</w:t>
      </w:r>
      <w:proofErr w:type="spellStart"/>
      <w:r w:rsidRPr="00ED0B08">
        <w:t>parished</w:t>
      </w:r>
      <w:proofErr w:type="spellEnd"/>
      <w:r w:rsidRPr="00ED0B08">
        <w:t xml:space="preserve"> wards</w:t>
      </w:r>
    </w:p>
  </w:footnote>
  <w:footnote w:id="50">
    <w:p w:rsidR="0086183F" w:rsidRDefault="0086183F" w:rsidP="003156B8">
      <w:pPr>
        <w:pStyle w:val="FootnoteText"/>
        <w:ind w:left="284" w:hanging="142"/>
      </w:pPr>
      <w:r>
        <w:rPr>
          <w:rStyle w:val="FootnoteReference"/>
        </w:rPr>
        <w:footnoteRef/>
      </w:r>
      <w:r>
        <w:t xml:space="preserve"> </w:t>
      </w:r>
      <w:r>
        <w:rPr>
          <w:rFonts w:cs="Calibri"/>
          <w:szCs w:val="22"/>
        </w:rPr>
        <w:t xml:space="preserve"> </w:t>
      </w:r>
      <w:r w:rsidRPr="005E3963">
        <w:rPr>
          <w:rFonts w:cs="Calibri"/>
          <w:szCs w:val="22"/>
        </w:rPr>
        <w:t>The figures for the years of expenditure are only approximate and may change due to slippage</w:t>
      </w:r>
      <w:r>
        <w:rPr>
          <w:rFonts w:cs="Calibri"/>
          <w:szCs w:val="22"/>
        </w:rPr>
        <w:t xml:space="preserve"> or early completion of schemes.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83F" w:rsidRPr="00A53EAE" w:rsidRDefault="0086183F" w:rsidP="00126779">
    <w:pPr>
      <w:pStyle w:val="Header"/>
      <w:jc w:val="center"/>
      <w:rPr>
        <w:rFonts w:asciiTheme="minorHAnsi" w:hAnsiTheme="minorHAnsi" w:cstheme="minorHAnsi"/>
        <w:color w:val="0D0D0D" w:themeColor="text1" w:themeTint="F2"/>
      </w:rPr>
    </w:pPr>
    <w:r>
      <w:rPr>
        <w:rFonts w:asciiTheme="minorHAnsi" w:hAnsiTheme="minorHAnsi" w:cstheme="minorHAnsi"/>
        <w:color w:val="0D0D0D" w:themeColor="text1" w:themeTint="F2"/>
      </w:rPr>
      <w:t>Annual Monitoring Report 2017/18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391"/>
    <w:multiLevelType w:val="multilevel"/>
    <w:tmpl w:val="EB6E8C2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8B06878"/>
    <w:multiLevelType w:val="hybridMultilevel"/>
    <w:tmpl w:val="06B010C0"/>
    <w:lvl w:ilvl="0" w:tplc="0D3C3746">
      <w:start w:val="1"/>
      <w:numFmt w:val="decimal"/>
      <w:pStyle w:val="Text1"/>
      <w:lvlText w:val="%1."/>
      <w:lvlJc w:val="left"/>
      <w:pPr>
        <w:ind w:left="360" w:hanging="360"/>
      </w:pPr>
      <w:rPr>
        <w:rFonts w:ascii="Calibri" w:hAnsi="Calibri" w:hint="default"/>
        <w:b/>
        <w:i w:val="0"/>
        <w:color w:val="365F91" w:themeColor="accent1" w:themeShade="BF"/>
        <w:spacing w:val="0"/>
        <w:position w:val="0"/>
        <w:sz w:val="22"/>
        <w:szCs w:val="22"/>
        <w:vertAlign w:val="baseline"/>
      </w:rPr>
    </w:lvl>
    <w:lvl w:ilvl="1" w:tplc="08090001">
      <w:start w:val="1"/>
      <w:numFmt w:val="bullet"/>
      <w:lvlText w:val=""/>
      <w:lvlJc w:val="left"/>
      <w:pPr>
        <w:tabs>
          <w:tab w:val="num" w:pos="1440"/>
        </w:tabs>
        <w:ind w:left="1440" w:hanging="360"/>
      </w:pPr>
      <w:rPr>
        <w:rFonts w:ascii="Symbol" w:hAnsi="Symbol" w:hint="default"/>
        <w:color w:val="17365D" w:themeColor="text2" w:themeShade="BF"/>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B3661"/>
    <w:multiLevelType w:val="hybridMultilevel"/>
    <w:tmpl w:val="A86CC898"/>
    <w:lvl w:ilvl="0" w:tplc="A7D06940">
      <w:start w:val="1"/>
      <w:numFmt w:val="bullet"/>
      <w:lvlText w:val=""/>
      <w:lvlJc w:val="left"/>
      <w:pPr>
        <w:ind w:left="720" w:hanging="360"/>
      </w:pPr>
      <w:rPr>
        <w:rFonts w:ascii="Wingdings" w:hAnsi="Wingdings" w:hint="default"/>
        <w:color w:val="984806"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2715A"/>
    <w:multiLevelType w:val="hybridMultilevel"/>
    <w:tmpl w:val="D29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1744F"/>
    <w:multiLevelType w:val="hybridMultilevel"/>
    <w:tmpl w:val="83D4DD60"/>
    <w:lvl w:ilvl="0" w:tplc="0AF8495A">
      <w:start w:val="1"/>
      <w:numFmt w:val="decimal"/>
      <w:lvlText w:val="5.%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9626A76"/>
    <w:multiLevelType w:val="hybridMultilevel"/>
    <w:tmpl w:val="E1D06AF8"/>
    <w:lvl w:ilvl="0" w:tplc="6440807E">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2085342E"/>
    <w:multiLevelType w:val="hybridMultilevel"/>
    <w:tmpl w:val="5F3C1BEE"/>
    <w:lvl w:ilvl="0" w:tplc="D0A847D0">
      <w:start w:val="1"/>
      <w:numFmt w:val="bullet"/>
      <w:lvlText w:val=""/>
      <w:lvlJc w:val="left"/>
      <w:pPr>
        <w:ind w:left="720" w:hanging="360"/>
      </w:pPr>
      <w:rPr>
        <w:rFonts w:ascii="Wingdings" w:hAnsi="Wingdings" w:hint="default"/>
        <w:color w:val="632423"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502E98"/>
    <w:multiLevelType w:val="hybridMultilevel"/>
    <w:tmpl w:val="26B09D16"/>
    <w:lvl w:ilvl="0" w:tplc="6440807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C95A87"/>
    <w:multiLevelType w:val="multilevel"/>
    <w:tmpl w:val="1B026A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02148B"/>
    <w:multiLevelType w:val="hybridMultilevel"/>
    <w:tmpl w:val="94506126"/>
    <w:lvl w:ilvl="0" w:tplc="C09C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7C2124"/>
    <w:multiLevelType w:val="hybridMultilevel"/>
    <w:tmpl w:val="1CEC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A508A3"/>
    <w:multiLevelType w:val="hybridMultilevel"/>
    <w:tmpl w:val="27A43BA8"/>
    <w:lvl w:ilvl="0" w:tplc="0809001B">
      <w:start w:val="1"/>
      <w:numFmt w:val="low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3">
    <w:nsid w:val="367D26BF"/>
    <w:multiLevelType w:val="hybridMultilevel"/>
    <w:tmpl w:val="6854B3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nsid w:val="37782E99"/>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ED3B07"/>
    <w:multiLevelType w:val="hybridMultilevel"/>
    <w:tmpl w:val="666A5FFC"/>
    <w:lvl w:ilvl="0" w:tplc="076C2348">
      <w:start w:val="1"/>
      <w:numFmt w:val="bullet"/>
      <w:lvlText w:val=""/>
      <w:lvlJc w:val="left"/>
      <w:pPr>
        <w:ind w:left="2138" w:hanging="360"/>
      </w:pPr>
      <w:rPr>
        <w:rFonts w:ascii="Wingdings" w:hAnsi="Wingdings" w:hint="default"/>
        <w:color w:val="632423" w:themeColor="accent2" w:themeShade="8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nsid w:val="3DC26B2B"/>
    <w:multiLevelType w:val="multilevel"/>
    <w:tmpl w:val="1FEE4F58"/>
    <w:lvl w:ilvl="0">
      <w:start w:val="6"/>
      <w:numFmt w:val="decimal"/>
      <w:lvlText w:val="%1"/>
      <w:lvlJc w:val="left"/>
      <w:pPr>
        <w:ind w:left="375" w:hanging="375"/>
      </w:pPr>
      <w:rPr>
        <w:rFonts w:hint="default"/>
        <w:b w:val="0"/>
        <w:color w:val="auto"/>
        <w:sz w:val="22"/>
      </w:rPr>
    </w:lvl>
    <w:lvl w:ilvl="1">
      <w:start w:val="12"/>
      <w:numFmt w:val="decimal"/>
      <w:lvlText w:val="%1.%2"/>
      <w:lvlJc w:val="left"/>
      <w:pPr>
        <w:ind w:left="375" w:hanging="375"/>
      </w:pPr>
      <w:rPr>
        <w:rFonts w:hint="default"/>
        <w:b w:val="0"/>
        <w:color w:val="auto"/>
        <w:sz w:val="22"/>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1080" w:hanging="108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440" w:hanging="144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800" w:hanging="1800"/>
      </w:pPr>
      <w:rPr>
        <w:rFonts w:hint="default"/>
        <w:b w:val="0"/>
        <w:color w:val="auto"/>
        <w:sz w:val="22"/>
      </w:rPr>
    </w:lvl>
    <w:lvl w:ilvl="8">
      <w:start w:val="1"/>
      <w:numFmt w:val="decimal"/>
      <w:lvlText w:val="%1.%2.%3.%4.%5.%6.%7.%8.%9"/>
      <w:lvlJc w:val="left"/>
      <w:pPr>
        <w:ind w:left="2160" w:hanging="2160"/>
      </w:pPr>
      <w:rPr>
        <w:rFonts w:hint="default"/>
        <w:b w:val="0"/>
        <w:color w:val="auto"/>
        <w:sz w:val="22"/>
      </w:rPr>
    </w:lvl>
  </w:abstractNum>
  <w:abstractNum w:abstractNumId="17">
    <w:nsid w:val="3FFD113A"/>
    <w:multiLevelType w:val="hybridMultilevel"/>
    <w:tmpl w:val="21B8D0A4"/>
    <w:lvl w:ilvl="0" w:tplc="C2D4F09C">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752642"/>
    <w:multiLevelType w:val="hybridMultilevel"/>
    <w:tmpl w:val="1C2E60C4"/>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CA4F17"/>
    <w:multiLevelType w:val="hybridMultilevel"/>
    <w:tmpl w:val="FC201A02"/>
    <w:lvl w:ilvl="0" w:tplc="6440807E">
      <w:start w:val="1"/>
      <w:numFmt w:val="bullet"/>
      <w:lvlText w:val=""/>
      <w:lvlJc w:val="left"/>
      <w:pPr>
        <w:ind w:left="765" w:hanging="360"/>
      </w:pPr>
      <w:rPr>
        <w:rFonts w:ascii="Wingdings" w:hAnsi="Wingdings"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nsid w:val="4A1D6F85"/>
    <w:multiLevelType w:val="hybridMultilevel"/>
    <w:tmpl w:val="47366FB0"/>
    <w:lvl w:ilvl="0" w:tplc="48EAB62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356028"/>
    <w:multiLevelType w:val="hybridMultilevel"/>
    <w:tmpl w:val="9402A370"/>
    <w:lvl w:ilvl="0" w:tplc="25C0921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3D5D63"/>
    <w:multiLevelType w:val="hybridMultilevel"/>
    <w:tmpl w:val="01882086"/>
    <w:lvl w:ilvl="0" w:tplc="05422EF0">
      <w:start w:val="1"/>
      <w:numFmt w:val="decimal"/>
      <w:lvlText w:val="%1."/>
      <w:lvlJc w:val="left"/>
      <w:pPr>
        <w:ind w:left="36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68E608D"/>
    <w:multiLevelType w:val="multilevel"/>
    <w:tmpl w:val="87A8D9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6D60501"/>
    <w:multiLevelType w:val="hybridMultilevel"/>
    <w:tmpl w:val="B25AD8F8"/>
    <w:lvl w:ilvl="0" w:tplc="727A1EB6">
      <w:numFmt w:val="bullet"/>
      <w:lvlText w:val="-"/>
      <w:lvlJc w:val="left"/>
      <w:pPr>
        <w:ind w:left="1080" w:hanging="360"/>
      </w:pPr>
      <w:rPr>
        <w:rFonts w:ascii="Calibri" w:eastAsia="Calibri" w:hAnsi="Calibri" w:cs="Times New Roman" w:hint="default"/>
        <w:b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7BA3C97"/>
    <w:multiLevelType w:val="hybridMultilevel"/>
    <w:tmpl w:val="A490B5EE"/>
    <w:lvl w:ilvl="0" w:tplc="F9E80136">
      <w:start w:val="1"/>
      <w:numFmt w:val="bullet"/>
      <w:lvlText w:val=""/>
      <w:lvlJc w:val="left"/>
      <w:pPr>
        <w:ind w:left="845" w:hanging="360"/>
      </w:pPr>
      <w:rPr>
        <w:rFonts w:ascii="Wingdings" w:hAnsi="Wingdings" w:hint="default"/>
        <w:color w:val="984806" w:themeColor="accent6" w:themeShade="80"/>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6">
    <w:nsid w:val="5A596450"/>
    <w:multiLevelType w:val="hybridMultilevel"/>
    <w:tmpl w:val="B1B610E4"/>
    <w:lvl w:ilvl="0" w:tplc="E20A3D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9123DA"/>
    <w:multiLevelType w:val="hybridMultilevel"/>
    <w:tmpl w:val="39CA5DD4"/>
    <w:lvl w:ilvl="0" w:tplc="1CFA2A66">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4A7F82"/>
    <w:multiLevelType w:val="hybridMultilevel"/>
    <w:tmpl w:val="E5AA50A6"/>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C70B1D"/>
    <w:multiLevelType w:val="hybridMultilevel"/>
    <w:tmpl w:val="19EE1978"/>
    <w:lvl w:ilvl="0" w:tplc="5302D2F8">
      <w:start w:val="1"/>
      <w:numFmt w:val="decimal"/>
      <w:lvlText w:val="2.%1"/>
      <w:lvlJc w:val="left"/>
      <w:pPr>
        <w:ind w:left="360" w:hanging="360"/>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74E6531"/>
    <w:multiLevelType w:val="hybridMultilevel"/>
    <w:tmpl w:val="BEA2D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8BD5563"/>
    <w:multiLevelType w:val="hybridMultilevel"/>
    <w:tmpl w:val="FB78E0F6"/>
    <w:lvl w:ilvl="0" w:tplc="C6FC5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361D4D"/>
    <w:multiLevelType w:val="hybridMultilevel"/>
    <w:tmpl w:val="887A47EA"/>
    <w:lvl w:ilvl="0" w:tplc="6440807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DB2231A"/>
    <w:multiLevelType w:val="hybridMultilevel"/>
    <w:tmpl w:val="A2AC42C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4">
    <w:nsid w:val="76AA37AE"/>
    <w:multiLevelType w:val="hybridMultilevel"/>
    <w:tmpl w:val="B622C0C0"/>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5">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7A211487"/>
    <w:multiLevelType w:val="multilevel"/>
    <w:tmpl w:val="713EC2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BE373EA"/>
    <w:multiLevelType w:val="hybridMultilevel"/>
    <w:tmpl w:val="3AAEB404"/>
    <w:lvl w:ilvl="0" w:tplc="D0A847D0">
      <w:start w:val="1"/>
      <w:numFmt w:val="bullet"/>
      <w:lvlText w:val=""/>
      <w:lvlJc w:val="left"/>
      <w:pPr>
        <w:ind w:left="1287" w:hanging="360"/>
      </w:pPr>
      <w:rPr>
        <w:rFonts w:ascii="Wingdings" w:hAnsi="Wingdings" w:hint="default"/>
        <w:color w:val="632423" w:themeColor="accent2" w:themeShade="8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nsid w:val="7BF10E80"/>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D556BDB"/>
    <w:multiLevelType w:val="hybridMultilevel"/>
    <w:tmpl w:val="78F82350"/>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F301987"/>
    <w:multiLevelType w:val="multilevel"/>
    <w:tmpl w:val="D49E4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3"/>
  </w:num>
  <w:num w:numId="2">
    <w:abstractNumId w:val="29"/>
  </w:num>
  <w:num w:numId="3">
    <w:abstractNumId w:val="33"/>
  </w:num>
  <w:num w:numId="4">
    <w:abstractNumId w:val="24"/>
  </w:num>
  <w:num w:numId="5">
    <w:abstractNumId w:val="30"/>
  </w:num>
  <w:num w:numId="6">
    <w:abstractNumId w:val="39"/>
  </w:num>
  <w:num w:numId="7">
    <w:abstractNumId w:val="5"/>
  </w:num>
  <w:num w:numId="8">
    <w:abstractNumId w:val="40"/>
  </w:num>
  <w:num w:numId="9">
    <w:abstractNumId w:val="2"/>
  </w:num>
  <w:num w:numId="10">
    <w:abstractNumId w:val="32"/>
  </w:num>
  <w:num w:numId="11">
    <w:abstractNumId w:val="27"/>
  </w:num>
  <w:num w:numId="12">
    <w:abstractNumId w:val="20"/>
  </w:num>
  <w:num w:numId="13">
    <w:abstractNumId w:val="25"/>
  </w:num>
  <w:num w:numId="14">
    <w:abstractNumId w:val="15"/>
  </w:num>
  <w:num w:numId="15">
    <w:abstractNumId w:val="18"/>
  </w:num>
  <w:num w:numId="16">
    <w:abstractNumId w:val="28"/>
  </w:num>
  <w:num w:numId="17">
    <w:abstractNumId w:val="9"/>
  </w:num>
  <w:num w:numId="18">
    <w:abstractNumId w:val="36"/>
  </w:num>
  <w:num w:numId="19">
    <w:abstractNumId w:val="6"/>
  </w:num>
  <w:num w:numId="20">
    <w:abstractNumId w:val="10"/>
  </w:num>
  <w:num w:numId="21">
    <w:abstractNumId w:val="3"/>
  </w:num>
  <w:num w:numId="22">
    <w:abstractNumId w:val="17"/>
  </w:num>
  <w:num w:numId="23">
    <w:abstractNumId w:val="0"/>
  </w:num>
  <w:num w:numId="24">
    <w:abstractNumId w:val="7"/>
  </w:num>
  <w:num w:numId="25">
    <w:abstractNumId w:val="37"/>
  </w:num>
  <w:num w:numId="26">
    <w:abstractNumId w:val="21"/>
  </w:num>
  <w:num w:numId="27">
    <w:abstractNumId w:val="31"/>
  </w:num>
  <w:num w:numId="28">
    <w:abstractNumId w:val="19"/>
  </w:num>
  <w:num w:numId="29">
    <w:abstractNumId w:val="14"/>
  </w:num>
  <w:num w:numId="30">
    <w:abstractNumId w:val="22"/>
  </w:num>
  <w:num w:numId="31">
    <w:abstractNumId w:val="34"/>
  </w:num>
  <w:num w:numId="32">
    <w:abstractNumId w:val="4"/>
  </w:num>
  <w:num w:numId="33">
    <w:abstractNumId w:val="38"/>
  </w:num>
  <w:num w:numId="34">
    <w:abstractNumId w:val="12"/>
  </w:num>
  <w:num w:numId="35">
    <w:abstractNumId w:val="8"/>
  </w:num>
  <w:num w:numId="36">
    <w:abstractNumId w:val="26"/>
  </w:num>
  <w:num w:numId="37">
    <w:abstractNumId w:val="1"/>
  </w:num>
  <w:num w:numId="38">
    <w:abstractNumId w:val="35"/>
    <w:lvlOverride w:ilvl="0">
      <w:lvl w:ilvl="0">
        <w:start w:val="1"/>
        <w:numFmt w:val="decimal"/>
        <w:lvlText w:val="%1."/>
        <w:lvlJc w:val="left"/>
        <w:pPr>
          <w:ind w:left="360" w:hanging="360"/>
        </w:pPr>
        <w:rPr>
          <w:rFonts w:ascii="Arial" w:hAnsi="Arial"/>
          <w:color w:val="000000"/>
          <w:sz w:val="24"/>
        </w:rPr>
      </w:lvl>
    </w:lvlOverride>
  </w:num>
  <w:num w:numId="39">
    <w:abstractNumId w:val="11"/>
  </w:num>
  <w:num w:numId="40">
    <w:abstractNumId w:val="1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F0"/>
    <w:rsid w:val="00016A93"/>
    <w:rsid w:val="00042D83"/>
    <w:rsid w:val="000945B0"/>
    <w:rsid w:val="000B4310"/>
    <w:rsid w:val="000D56C5"/>
    <w:rsid w:val="000D7D6E"/>
    <w:rsid w:val="00126779"/>
    <w:rsid w:val="001351EB"/>
    <w:rsid w:val="001519EF"/>
    <w:rsid w:val="001A40E8"/>
    <w:rsid w:val="001A65C2"/>
    <w:rsid w:val="001C17A0"/>
    <w:rsid w:val="00207CDB"/>
    <w:rsid w:val="00212C8B"/>
    <w:rsid w:val="0027137A"/>
    <w:rsid w:val="0027604C"/>
    <w:rsid w:val="00292336"/>
    <w:rsid w:val="002E6DEC"/>
    <w:rsid w:val="00305C47"/>
    <w:rsid w:val="00311408"/>
    <w:rsid w:val="003156B8"/>
    <w:rsid w:val="003321F0"/>
    <w:rsid w:val="004000D7"/>
    <w:rsid w:val="00421A3D"/>
    <w:rsid w:val="00436176"/>
    <w:rsid w:val="004C4FC2"/>
    <w:rsid w:val="004E539F"/>
    <w:rsid w:val="00500DD3"/>
    <w:rsid w:val="00504E43"/>
    <w:rsid w:val="00530292"/>
    <w:rsid w:val="00552E28"/>
    <w:rsid w:val="005E0F67"/>
    <w:rsid w:val="005E572E"/>
    <w:rsid w:val="005F300A"/>
    <w:rsid w:val="006041AE"/>
    <w:rsid w:val="00607B86"/>
    <w:rsid w:val="00620D8C"/>
    <w:rsid w:val="00626765"/>
    <w:rsid w:val="006A7C31"/>
    <w:rsid w:val="006B7E00"/>
    <w:rsid w:val="0070297F"/>
    <w:rsid w:val="00711DF0"/>
    <w:rsid w:val="0071506B"/>
    <w:rsid w:val="00723342"/>
    <w:rsid w:val="00764EC2"/>
    <w:rsid w:val="007908F4"/>
    <w:rsid w:val="007B0C8D"/>
    <w:rsid w:val="007C1956"/>
    <w:rsid w:val="007C2290"/>
    <w:rsid w:val="007D16FE"/>
    <w:rsid w:val="00814252"/>
    <w:rsid w:val="00857632"/>
    <w:rsid w:val="0086183F"/>
    <w:rsid w:val="00881331"/>
    <w:rsid w:val="008A22C6"/>
    <w:rsid w:val="008D5175"/>
    <w:rsid w:val="00901E0C"/>
    <w:rsid w:val="009069B6"/>
    <w:rsid w:val="0093161A"/>
    <w:rsid w:val="0096192C"/>
    <w:rsid w:val="009B07AB"/>
    <w:rsid w:val="009B364F"/>
    <w:rsid w:val="009F0722"/>
    <w:rsid w:val="00A11F99"/>
    <w:rsid w:val="00AB3D3F"/>
    <w:rsid w:val="00AE39EB"/>
    <w:rsid w:val="00B17D9A"/>
    <w:rsid w:val="00B740FD"/>
    <w:rsid w:val="00B803F9"/>
    <w:rsid w:val="00BB5319"/>
    <w:rsid w:val="00BF328F"/>
    <w:rsid w:val="00C07F80"/>
    <w:rsid w:val="00CC3D19"/>
    <w:rsid w:val="00D1348C"/>
    <w:rsid w:val="00DE6742"/>
    <w:rsid w:val="00E320DD"/>
    <w:rsid w:val="00E6564F"/>
    <w:rsid w:val="00E72920"/>
    <w:rsid w:val="00E84820"/>
    <w:rsid w:val="00E906EC"/>
    <w:rsid w:val="00EC3124"/>
    <w:rsid w:val="00ED615C"/>
    <w:rsid w:val="00EF0DA3"/>
    <w:rsid w:val="00EF5140"/>
    <w:rsid w:val="00EF6AA9"/>
    <w:rsid w:val="00F42BF5"/>
    <w:rsid w:val="00F47862"/>
    <w:rsid w:val="00F84B0C"/>
    <w:rsid w:val="00F84E50"/>
    <w:rsid w:val="00F97D78"/>
    <w:rsid w:val="00FB04B2"/>
    <w:rsid w:val="00FD3A85"/>
    <w:rsid w:val="00FD3F6A"/>
    <w:rsid w:val="00FF29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F0"/>
    <w:rPr>
      <w:rFonts w:ascii="Calibri" w:hAnsi="Calibri"/>
      <w:sz w:val="22"/>
    </w:rPr>
  </w:style>
  <w:style w:type="paragraph" w:styleId="Heading1">
    <w:name w:val="heading 1"/>
    <w:basedOn w:val="Normal"/>
    <w:next w:val="Normal"/>
    <w:link w:val="Heading1Char"/>
    <w:autoRedefine/>
    <w:uiPriority w:val="9"/>
    <w:qFormat/>
    <w:rsid w:val="00711DF0"/>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11DF0"/>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DF0"/>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11DF0"/>
    <w:rPr>
      <w:rFonts w:asciiTheme="minorHAnsi" w:hAnsiTheme="minorHAnsi"/>
      <w:b/>
      <w:lang w:eastAsia="en-GB"/>
    </w:rPr>
  </w:style>
  <w:style w:type="paragraph" w:styleId="Header">
    <w:name w:val="header"/>
    <w:basedOn w:val="Normal"/>
    <w:link w:val="HeaderChar"/>
    <w:unhideWhenUsed/>
    <w:rsid w:val="00711DF0"/>
    <w:pPr>
      <w:tabs>
        <w:tab w:val="center" w:pos="4513"/>
        <w:tab w:val="right" w:pos="9026"/>
      </w:tabs>
    </w:pPr>
  </w:style>
  <w:style w:type="character" w:customStyle="1" w:styleId="HeaderChar">
    <w:name w:val="Header Char"/>
    <w:basedOn w:val="DefaultParagraphFont"/>
    <w:link w:val="Header"/>
    <w:rsid w:val="00711DF0"/>
    <w:rPr>
      <w:rFonts w:ascii="Calibri" w:hAnsi="Calibri"/>
      <w:sz w:val="22"/>
    </w:rPr>
  </w:style>
  <w:style w:type="paragraph" w:styleId="Footer">
    <w:name w:val="footer"/>
    <w:basedOn w:val="Normal"/>
    <w:link w:val="FooterChar"/>
    <w:uiPriority w:val="99"/>
    <w:unhideWhenUsed/>
    <w:rsid w:val="00711DF0"/>
    <w:pPr>
      <w:tabs>
        <w:tab w:val="center" w:pos="4513"/>
        <w:tab w:val="right" w:pos="9026"/>
      </w:tabs>
    </w:pPr>
  </w:style>
  <w:style w:type="character" w:customStyle="1" w:styleId="FooterChar">
    <w:name w:val="Footer Char"/>
    <w:basedOn w:val="DefaultParagraphFont"/>
    <w:link w:val="Footer"/>
    <w:uiPriority w:val="99"/>
    <w:rsid w:val="00711DF0"/>
    <w:rPr>
      <w:rFonts w:ascii="Calibri" w:hAnsi="Calibri"/>
      <w:sz w:val="22"/>
    </w:rPr>
  </w:style>
  <w:style w:type="paragraph" w:styleId="ListParagraph">
    <w:name w:val="List Paragraph"/>
    <w:basedOn w:val="Normal"/>
    <w:link w:val="ListParagraphChar"/>
    <w:uiPriority w:val="34"/>
    <w:qFormat/>
    <w:rsid w:val="00711DF0"/>
    <w:pPr>
      <w:ind w:left="720"/>
      <w:contextualSpacing/>
    </w:pPr>
  </w:style>
  <w:style w:type="table" w:styleId="TableGrid">
    <w:name w:val="Table Grid"/>
    <w:basedOn w:val="TableNormal"/>
    <w:uiPriority w:val="59"/>
    <w:rsid w:val="00711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A40E8"/>
    <w:pPr>
      <w:tabs>
        <w:tab w:val="right" w:leader="dot" w:pos="9016"/>
      </w:tabs>
      <w:spacing w:before="240" w:after="120"/>
    </w:pPr>
    <w:rPr>
      <w:rFonts w:asciiTheme="minorHAnsi" w:eastAsia="Calibri" w:hAnsiTheme="minorHAnsi" w:cstheme="majorBidi"/>
      <w:b/>
      <w:bCs/>
      <w:noProof/>
      <w:sz w:val="20"/>
      <w:szCs w:val="20"/>
    </w:rPr>
  </w:style>
  <w:style w:type="character" w:styleId="Hyperlink">
    <w:name w:val="Hyperlink"/>
    <w:uiPriority w:val="99"/>
    <w:unhideWhenUsed/>
    <w:rsid w:val="00711DF0"/>
    <w:rPr>
      <w:color w:val="0000FF"/>
      <w:u w:val="single"/>
    </w:rPr>
  </w:style>
  <w:style w:type="paragraph" w:styleId="TOC2">
    <w:name w:val="toc 2"/>
    <w:basedOn w:val="Normal"/>
    <w:next w:val="Normal"/>
    <w:autoRedefine/>
    <w:uiPriority w:val="39"/>
    <w:unhideWhenUsed/>
    <w:rsid w:val="00711DF0"/>
    <w:pPr>
      <w:spacing w:before="120"/>
      <w:ind w:left="220"/>
    </w:pPr>
    <w:rPr>
      <w:rFonts w:asciiTheme="minorHAnsi" w:hAnsiTheme="minorHAnsi" w:cstheme="minorHAnsi"/>
      <w:i/>
      <w:iCs/>
      <w:sz w:val="20"/>
      <w:szCs w:val="20"/>
    </w:rPr>
  </w:style>
  <w:style w:type="character" w:customStyle="1" w:styleId="ListParagraphChar">
    <w:name w:val="List Paragraph Char"/>
    <w:link w:val="ListParagraph"/>
    <w:uiPriority w:val="34"/>
    <w:rsid w:val="00711DF0"/>
    <w:rPr>
      <w:rFonts w:ascii="Calibri" w:hAnsi="Calibri"/>
      <w:sz w:val="22"/>
    </w:rPr>
  </w:style>
  <w:style w:type="paragraph" w:styleId="BalloonText">
    <w:name w:val="Balloon Text"/>
    <w:basedOn w:val="Normal"/>
    <w:link w:val="BalloonTextChar"/>
    <w:uiPriority w:val="99"/>
    <w:semiHidden/>
    <w:unhideWhenUsed/>
    <w:rsid w:val="00711DF0"/>
    <w:rPr>
      <w:rFonts w:ascii="Tahoma" w:hAnsi="Tahoma" w:cs="Tahoma"/>
      <w:sz w:val="16"/>
      <w:szCs w:val="16"/>
    </w:rPr>
  </w:style>
  <w:style w:type="character" w:customStyle="1" w:styleId="BalloonTextChar">
    <w:name w:val="Balloon Text Char"/>
    <w:basedOn w:val="DefaultParagraphFont"/>
    <w:link w:val="BalloonText"/>
    <w:uiPriority w:val="99"/>
    <w:semiHidden/>
    <w:rsid w:val="00711DF0"/>
    <w:rPr>
      <w:rFonts w:ascii="Tahoma" w:hAnsi="Tahoma" w:cs="Tahoma"/>
      <w:sz w:val="16"/>
      <w:szCs w:val="16"/>
    </w:rPr>
  </w:style>
  <w:style w:type="paragraph" w:styleId="FootnoteText">
    <w:name w:val="footnote text"/>
    <w:basedOn w:val="Normal"/>
    <w:link w:val="FootnoteTextChar"/>
    <w:uiPriority w:val="99"/>
    <w:semiHidden/>
    <w:unhideWhenUsed/>
    <w:rsid w:val="00126779"/>
    <w:rPr>
      <w:sz w:val="20"/>
      <w:szCs w:val="20"/>
    </w:rPr>
  </w:style>
  <w:style w:type="character" w:customStyle="1" w:styleId="FootnoteTextChar">
    <w:name w:val="Footnote Text Char"/>
    <w:basedOn w:val="DefaultParagraphFont"/>
    <w:link w:val="FootnoteText"/>
    <w:uiPriority w:val="99"/>
    <w:semiHidden/>
    <w:rsid w:val="00126779"/>
    <w:rPr>
      <w:rFonts w:ascii="Calibri" w:hAnsi="Calibri"/>
      <w:sz w:val="20"/>
      <w:szCs w:val="20"/>
    </w:rPr>
  </w:style>
  <w:style w:type="character" w:styleId="FootnoteReference">
    <w:name w:val="footnote reference"/>
    <w:basedOn w:val="DefaultParagraphFont"/>
    <w:uiPriority w:val="99"/>
    <w:unhideWhenUsed/>
    <w:rsid w:val="00126779"/>
    <w:rPr>
      <w:vertAlign w:val="superscript"/>
    </w:rPr>
  </w:style>
  <w:style w:type="table" w:customStyle="1" w:styleId="TableGrid18">
    <w:name w:val="Table Grid1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6779"/>
    <w:pPr>
      <w:autoSpaceDE w:val="0"/>
      <w:autoSpaceDN w:val="0"/>
      <w:adjustRightInd w:val="0"/>
    </w:pPr>
    <w:rPr>
      <w:rFonts w:ascii="Calibri" w:hAnsi="Calibri" w:cs="Calibri"/>
      <w:color w:val="000000"/>
    </w:rPr>
  </w:style>
  <w:style w:type="numbering" w:customStyle="1" w:styleId="NoList1">
    <w:name w:val="No List1"/>
    <w:next w:val="NoList"/>
    <w:uiPriority w:val="99"/>
    <w:semiHidden/>
    <w:unhideWhenUsed/>
    <w:rsid w:val="00126779"/>
  </w:style>
  <w:style w:type="table" w:styleId="MediumGrid1-Accent3">
    <w:name w:val="Medium Grid 1 Accent 3"/>
    <w:basedOn w:val="TableNormal"/>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126779"/>
    <w:rPr>
      <w:rFonts w:ascii="Times New Roman" w:eastAsia="Times New Roman" w:hAnsi="Times New Roman" w:cs="Times New Roman"/>
      <w:lang w:eastAsia="en-GB"/>
    </w:rPr>
  </w:style>
  <w:style w:type="paragraph" w:customStyle="1" w:styleId="CharCharCharChar">
    <w:name w:val="Char Char Char Char"/>
    <w:basedOn w:val="Normal"/>
    <w:rsid w:val="00126779"/>
    <w:pPr>
      <w:spacing w:after="160" w:line="240" w:lineRule="exact"/>
    </w:pPr>
    <w:rPr>
      <w:rFonts w:ascii="Verdana" w:eastAsia="Times New Roman" w:hAnsi="Verdana" w:cs="Times New Roman"/>
      <w:sz w:val="20"/>
      <w:szCs w:val="20"/>
    </w:rPr>
  </w:style>
  <w:style w:type="table" w:customStyle="1" w:styleId="TableGrid1">
    <w:name w:val="Table Grid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677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26779"/>
    <w:rPr>
      <w:rFonts w:asciiTheme="minorHAnsi" w:eastAsiaTheme="minorEastAsia" w:hAnsiTheme="minorHAnsi" w:cstheme="minorBidi"/>
      <w:sz w:val="22"/>
      <w:szCs w:val="22"/>
      <w:lang w:val="en-US" w:eastAsia="ja-JP"/>
    </w:rPr>
  </w:style>
  <w:style w:type="paragraph" w:customStyle="1" w:styleId="Text1">
    <w:name w:val="Text1"/>
    <w:basedOn w:val="Normal"/>
    <w:link w:val="Text1Char"/>
    <w:qFormat/>
    <w:rsid w:val="00126779"/>
    <w:pPr>
      <w:numPr>
        <w:numId w:val="9"/>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126779"/>
    <w:rPr>
      <w:rFonts w:ascii="Calibri" w:eastAsia="Times New Roman" w:hAnsi="Calibri" w:cs="Times New Roman"/>
      <w:sz w:val="22"/>
      <w:szCs w:val="22"/>
    </w:rPr>
  </w:style>
  <w:style w:type="character" w:styleId="CommentReference">
    <w:name w:val="annotation reference"/>
    <w:basedOn w:val="DefaultParagraphFont"/>
    <w:semiHidden/>
    <w:unhideWhenUsed/>
    <w:rsid w:val="00126779"/>
    <w:rPr>
      <w:sz w:val="16"/>
      <w:szCs w:val="16"/>
    </w:rPr>
  </w:style>
  <w:style w:type="paragraph" w:styleId="CommentText">
    <w:name w:val="annotation text"/>
    <w:basedOn w:val="Normal"/>
    <w:link w:val="CommentTextChar"/>
    <w:unhideWhenUsed/>
    <w:rsid w:val="00126779"/>
    <w:rPr>
      <w:sz w:val="20"/>
      <w:szCs w:val="20"/>
    </w:rPr>
  </w:style>
  <w:style w:type="character" w:customStyle="1" w:styleId="CommentTextChar">
    <w:name w:val="Comment Text Char"/>
    <w:basedOn w:val="DefaultParagraphFont"/>
    <w:link w:val="CommentText"/>
    <w:uiPriority w:val="99"/>
    <w:rsid w:val="0012677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26779"/>
    <w:rPr>
      <w:b/>
      <w:bCs/>
    </w:rPr>
  </w:style>
  <w:style w:type="character" w:customStyle="1" w:styleId="CommentSubjectChar">
    <w:name w:val="Comment Subject Char"/>
    <w:basedOn w:val="CommentTextChar"/>
    <w:link w:val="CommentSubject"/>
    <w:uiPriority w:val="99"/>
    <w:semiHidden/>
    <w:rsid w:val="00126779"/>
    <w:rPr>
      <w:rFonts w:ascii="Calibri" w:hAnsi="Calibri"/>
      <w:b/>
      <w:bCs/>
      <w:sz w:val="20"/>
      <w:szCs w:val="20"/>
    </w:rPr>
  </w:style>
  <w:style w:type="table" w:customStyle="1" w:styleId="TableGrid2">
    <w:name w:val="Table Grid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26779"/>
  </w:style>
  <w:style w:type="table" w:customStyle="1" w:styleId="TableGrid7">
    <w:name w:val="Table Grid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6779"/>
    <w:rPr>
      <w:color w:val="800080" w:themeColor="followedHyperlink"/>
      <w:u w:val="single"/>
    </w:rPr>
  </w:style>
  <w:style w:type="character" w:styleId="PlaceholderText">
    <w:name w:val="Placeholder Text"/>
    <w:basedOn w:val="DefaultParagraphFont"/>
    <w:uiPriority w:val="99"/>
    <w:semiHidden/>
    <w:rsid w:val="00126779"/>
    <w:rPr>
      <w:color w:val="808080"/>
    </w:rPr>
  </w:style>
  <w:style w:type="table" w:customStyle="1" w:styleId="TableGrid9">
    <w:name w:val="Table Grid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779"/>
    <w:rPr>
      <w:rFonts w:ascii="Calibri" w:hAnsi="Calibri"/>
      <w:sz w:val="22"/>
    </w:rPr>
  </w:style>
  <w:style w:type="paragraph" w:styleId="TOC3">
    <w:name w:val="toc 3"/>
    <w:basedOn w:val="Normal"/>
    <w:next w:val="Normal"/>
    <w:autoRedefine/>
    <w:uiPriority w:val="39"/>
    <w:unhideWhenUsed/>
    <w:rsid w:val="00126779"/>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12677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12677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12677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12677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12677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126779"/>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26779"/>
  </w:style>
  <w:style w:type="numbering" w:customStyle="1" w:styleId="NoList111">
    <w:name w:val="No List111"/>
    <w:next w:val="NoList"/>
    <w:uiPriority w:val="99"/>
    <w:semiHidden/>
    <w:unhideWhenUsed/>
    <w:rsid w:val="00126779"/>
  </w:style>
  <w:style w:type="table" w:customStyle="1" w:styleId="TableGrid21">
    <w:name w:val="Table Grid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26779"/>
  </w:style>
  <w:style w:type="table" w:customStyle="1" w:styleId="TableGrid72">
    <w:name w:val="Table Grid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6779"/>
  </w:style>
  <w:style w:type="numbering" w:customStyle="1" w:styleId="NoList12">
    <w:name w:val="No List12"/>
    <w:next w:val="NoList"/>
    <w:uiPriority w:val="99"/>
    <w:semiHidden/>
    <w:unhideWhenUsed/>
    <w:rsid w:val="00126779"/>
  </w:style>
  <w:style w:type="table" w:customStyle="1" w:styleId="TableGrid24">
    <w:name w:val="Table Grid2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6779"/>
  </w:style>
  <w:style w:type="table" w:customStyle="1" w:styleId="TableGrid73">
    <w:name w:val="Table Grid7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126779"/>
    <w:pPr>
      <w:numPr>
        <w:numId w:val="37"/>
      </w:numPr>
    </w:pPr>
  </w:style>
  <w:style w:type="table" w:customStyle="1" w:styleId="TableGrid914">
    <w:name w:val="Table Grid914"/>
    <w:basedOn w:val="TableNormal"/>
    <w:next w:val="TableGrid"/>
    <w:uiPriority w:val="59"/>
    <w:rsid w:val="00315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F0"/>
    <w:rPr>
      <w:rFonts w:ascii="Calibri" w:hAnsi="Calibri"/>
      <w:sz w:val="22"/>
    </w:rPr>
  </w:style>
  <w:style w:type="paragraph" w:styleId="Heading1">
    <w:name w:val="heading 1"/>
    <w:basedOn w:val="Normal"/>
    <w:next w:val="Normal"/>
    <w:link w:val="Heading1Char"/>
    <w:autoRedefine/>
    <w:uiPriority w:val="9"/>
    <w:qFormat/>
    <w:rsid w:val="00711DF0"/>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11DF0"/>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DF0"/>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11DF0"/>
    <w:rPr>
      <w:rFonts w:asciiTheme="minorHAnsi" w:hAnsiTheme="minorHAnsi"/>
      <w:b/>
      <w:lang w:eastAsia="en-GB"/>
    </w:rPr>
  </w:style>
  <w:style w:type="paragraph" w:styleId="Header">
    <w:name w:val="header"/>
    <w:basedOn w:val="Normal"/>
    <w:link w:val="HeaderChar"/>
    <w:unhideWhenUsed/>
    <w:rsid w:val="00711DF0"/>
    <w:pPr>
      <w:tabs>
        <w:tab w:val="center" w:pos="4513"/>
        <w:tab w:val="right" w:pos="9026"/>
      </w:tabs>
    </w:pPr>
  </w:style>
  <w:style w:type="character" w:customStyle="1" w:styleId="HeaderChar">
    <w:name w:val="Header Char"/>
    <w:basedOn w:val="DefaultParagraphFont"/>
    <w:link w:val="Header"/>
    <w:rsid w:val="00711DF0"/>
    <w:rPr>
      <w:rFonts w:ascii="Calibri" w:hAnsi="Calibri"/>
      <w:sz w:val="22"/>
    </w:rPr>
  </w:style>
  <w:style w:type="paragraph" w:styleId="Footer">
    <w:name w:val="footer"/>
    <w:basedOn w:val="Normal"/>
    <w:link w:val="FooterChar"/>
    <w:uiPriority w:val="99"/>
    <w:unhideWhenUsed/>
    <w:rsid w:val="00711DF0"/>
    <w:pPr>
      <w:tabs>
        <w:tab w:val="center" w:pos="4513"/>
        <w:tab w:val="right" w:pos="9026"/>
      </w:tabs>
    </w:pPr>
  </w:style>
  <w:style w:type="character" w:customStyle="1" w:styleId="FooterChar">
    <w:name w:val="Footer Char"/>
    <w:basedOn w:val="DefaultParagraphFont"/>
    <w:link w:val="Footer"/>
    <w:uiPriority w:val="99"/>
    <w:rsid w:val="00711DF0"/>
    <w:rPr>
      <w:rFonts w:ascii="Calibri" w:hAnsi="Calibri"/>
      <w:sz w:val="22"/>
    </w:rPr>
  </w:style>
  <w:style w:type="paragraph" w:styleId="ListParagraph">
    <w:name w:val="List Paragraph"/>
    <w:basedOn w:val="Normal"/>
    <w:link w:val="ListParagraphChar"/>
    <w:uiPriority w:val="34"/>
    <w:qFormat/>
    <w:rsid w:val="00711DF0"/>
    <w:pPr>
      <w:ind w:left="720"/>
      <w:contextualSpacing/>
    </w:pPr>
  </w:style>
  <w:style w:type="table" w:styleId="TableGrid">
    <w:name w:val="Table Grid"/>
    <w:basedOn w:val="TableNormal"/>
    <w:uiPriority w:val="59"/>
    <w:rsid w:val="00711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A40E8"/>
    <w:pPr>
      <w:tabs>
        <w:tab w:val="right" w:leader="dot" w:pos="9016"/>
      </w:tabs>
      <w:spacing w:before="240" w:after="120"/>
    </w:pPr>
    <w:rPr>
      <w:rFonts w:asciiTheme="minorHAnsi" w:eastAsia="Calibri" w:hAnsiTheme="minorHAnsi" w:cstheme="majorBidi"/>
      <w:b/>
      <w:bCs/>
      <w:noProof/>
      <w:sz w:val="20"/>
      <w:szCs w:val="20"/>
    </w:rPr>
  </w:style>
  <w:style w:type="character" w:styleId="Hyperlink">
    <w:name w:val="Hyperlink"/>
    <w:uiPriority w:val="99"/>
    <w:unhideWhenUsed/>
    <w:rsid w:val="00711DF0"/>
    <w:rPr>
      <w:color w:val="0000FF"/>
      <w:u w:val="single"/>
    </w:rPr>
  </w:style>
  <w:style w:type="paragraph" w:styleId="TOC2">
    <w:name w:val="toc 2"/>
    <w:basedOn w:val="Normal"/>
    <w:next w:val="Normal"/>
    <w:autoRedefine/>
    <w:uiPriority w:val="39"/>
    <w:unhideWhenUsed/>
    <w:rsid w:val="00711DF0"/>
    <w:pPr>
      <w:spacing w:before="120"/>
      <w:ind w:left="220"/>
    </w:pPr>
    <w:rPr>
      <w:rFonts w:asciiTheme="minorHAnsi" w:hAnsiTheme="minorHAnsi" w:cstheme="minorHAnsi"/>
      <w:i/>
      <w:iCs/>
      <w:sz w:val="20"/>
      <w:szCs w:val="20"/>
    </w:rPr>
  </w:style>
  <w:style w:type="character" w:customStyle="1" w:styleId="ListParagraphChar">
    <w:name w:val="List Paragraph Char"/>
    <w:link w:val="ListParagraph"/>
    <w:uiPriority w:val="34"/>
    <w:rsid w:val="00711DF0"/>
    <w:rPr>
      <w:rFonts w:ascii="Calibri" w:hAnsi="Calibri"/>
      <w:sz w:val="22"/>
    </w:rPr>
  </w:style>
  <w:style w:type="paragraph" w:styleId="BalloonText">
    <w:name w:val="Balloon Text"/>
    <w:basedOn w:val="Normal"/>
    <w:link w:val="BalloonTextChar"/>
    <w:uiPriority w:val="99"/>
    <w:semiHidden/>
    <w:unhideWhenUsed/>
    <w:rsid w:val="00711DF0"/>
    <w:rPr>
      <w:rFonts w:ascii="Tahoma" w:hAnsi="Tahoma" w:cs="Tahoma"/>
      <w:sz w:val="16"/>
      <w:szCs w:val="16"/>
    </w:rPr>
  </w:style>
  <w:style w:type="character" w:customStyle="1" w:styleId="BalloonTextChar">
    <w:name w:val="Balloon Text Char"/>
    <w:basedOn w:val="DefaultParagraphFont"/>
    <w:link w:val="BalloonText"/>
    <w:uiPriority w:val="99"/>
    <w:semiHidden/>
    <w:rsid w:val="00711DF0"/>
    <w:rPr>
      <w:rFonts w:ascii="Tahoma" w:hAnsi="Tahoma" w:cs="Tahoma"/>
      <w:sz w:val="16"/>
      <w:szCs w:val="16"/>
    </w:rPr>
  </w:style>
  <w:style w:type="paragraph" w:styleId="FootnoteText">
    <w:name w:val="footnote text"/>
    <w:basedOn w:val="Normal"/>
    <w:link w:val="FootnoteTextChar"/>
    <w:uiPriority w:val="99"/>
    <w:semiHidden/>
    <w:unhideWhenUsed/>
    <w:rsid w:val="00126779"/>
    <w:rPr>
      <w:sz w:val="20"/>
      <w:szCs w:val="20"/>
    </w:rPr>
  </w:style>
  <w:style w:type="character" w:customStyle="1" w:styleId="FootnoteTextChar">
    <w:name w:val="Footnote Text Char"/>
    <w:basedOn w:val="DefaultParagraphFont"/>
    <w:link w:val="FootnoteText"/>
    <w:uiPriority w:val="99"/>
    <w:semiHidden/>
    <w:rsid w:val="00126779"/>
    <w:rPr>
      <w:rFonts w:ascii="Calibri" w:hAnsi="Calibri"/>
      <w:sz w:val="20"/>
      <w:szCs w:val="20"/>
    </w:rPr>
  </w:style>
  <w:style w:type="character" w:styleId="FootnoteReference">
    <w:name w:val="footnote reference"/>
    <w:basedOn w:val="DefaultParagraphFont"/>
    <w:uiPriority w:val="99"/>
    <w:unhideWhenUsed/>
    <w:rsid w:val="00126779"/>
    <w:rPr>
      <w:vertAlign w:val="superscript"/>
    </w:rPr>
  </w:style>
  <w:style w:type="table" w:customStyle="1" w:styleId="TableGrid18">
    <w:name w:val="Table Grid1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6779"/>
    <w:pPr>
      <w:autoSpaceDE w:val="0"/>
      <w:autoSpaceDN w:val="0"/>
      <w:adjustRightInd w:val="0"/>
    </w:pPr>
    <w:rPr>
      <w:rFonts w:ascii="Calibri" w:hAnsi="Calibri" w:cs="Calibri"/>
      <w:color w:val="000000"/>
    </w:rPr>
  </w:style>
  <w:style w:type="numbering" w:customStyle="1" w:styleId="NoList1">
    <w:name w:val="No List1"/>
    <w:next w:val="NoList"/>
    <w:uiPriority w:val="99"/>
    <w:semiHidden/>
    <w:unhideWhenUsed/>
    <w:rsid w:val="00126779"/>
  </w:style>
  <w:style w:type="table" w:styleId="MediumGrid1-Accent3">
    <w:name w:val="Medium Grid 1 Accent 3"/>
    <w:basedOn w:val="TableNormal"/>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126779"/>
    <w:rPr>
      <w:rFonts w:ascii="Times New Roman" w:eastAsia="Times New Roman" w:hAnsi="Times New Roman" w:cs="Times New Roman"/>
      <w:lang w:eastAsia="en-GB"/>
    </w:rPr>
  </w:style>
  <w:style w:type="paragraph" w:customStyle="1" w:styleId="CharCharCharChar">
    <w:name w:val="Char Char Char Char"/>
    <w:basedOn w:val="Normal"/>
    <w:rsid w:val="00126779"/>
    <w:pPr>
      <w:spacing w:after="160" w:line="240" w:lineRule="exact"/>
    </w:pPr>
    <w:rPr>
      <w:rFonts w:ascii="Verdana" w:eastAsia="Times New Roman" w:hAnsi="Verdana" w:cs="Times New Roman"/>
      <w:sz w:val="20"/>
      <w:szCs w:val="20"/>
    </w:rPr>
  </w:style>
  <w:style w:type="table" w:customStyle="1" w:styleId="TableGrid1">
    <w:name w:val="Table Grid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677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26779"/>
    <w:rPr>
      <w:rFonts w:asciiTheme="minorHAnsi" w:eastAsiaTheme="minorEastAsia" w:hAnsiTheme="minorHAnsi" w:cstheme="minorBidi"/>
      <w:sz w:val="22"/>
      <w:szCs w:val="22"/>
      <w:lang w:val="en-US" w:eastAsia="ja-JP"/>
    </w:rPr>
  </w:style>
  <w:style w:type="paragraph" w:customStyle="1" w:styleId="Text1">
    <w:name w:val="Text1"/>
    <w:basedOn w:val="Normal"/>
    <w:link w:val="Text1Char"/>
    <w:qFormat/>
    <w:rsid w:val="00126779"/>
    <w:pPr>
      <w:numPr>
        <w:numId w:val="9"/>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126779"/>
    <w:rPr>
      <w:rFonts w:ascii="Calibri" w:eastAsia="Times New Roman" w:hAnsi="Calibri" w:cs="Times New Roman"/>
      <w:sz w:val="22"/>
      <w:szCs w:val="22"/>
    </w:rPr>
  </w:style>
  <w:style w:type="character" w:styleId="CommentReference">
    <w:name w:val="annotation reference"/>
    <w:basedOn w:val="DefaultParagraphFont"/>
    <w:semiHidden/>
    <w:unhideWhenUsed/>
    <w:rsid w:val="00126779"/>
    <w:rPr>
      <w:sz w:val="16"/>
      <w:szCs w:val="16"/>
    </w:rPr>
  </w:style>
  <w:style w:type="paragraph" w:styleId="CommentText">
    <w:name w:val="annotation text"/>
    <w:basedOn w:val="Normal"/>
    <w:link w:val="CommentTextChar"/>
    <w:unhideWhenUsed/>
    <w:rsid w:val="00126779"/>
    <w:rPr>
      <w:sz w:val="20"/>
      <w:szCs w:val="20"/>
    </w:rPr>
  </w:style>
  <w:style w:type="character" w:customStyle="1" w:styleId="CommentTextChar">
    <w:name w:val="Comment Text Char"/>
    <w:basedOn w:val="DefaultParagraphFont"/>
    <w:link w:val="CommentText"/>
    <w:uiPriority w:val="99"/>
    <w:rsid w:val="0012677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26779"/>
    <w:rPr>
      <w:b/>
      <w:bCs/>
    </w:rPr>
  </w:style>
  <w:style w:type="character" w:customStyle="1" w:styleId="CommentSubjectChar">
    <w:name w:val="Comment Subject Char"/>
    <w:basedOn w:val="CommentTextChar"/>
    <w:link w:val="CommentSubject"/>
    <w:uiPriority w:val="99"/>
    <w:semiHidden/>
    <w:rsid w:val="00126779"/>
    <w:rPr>
      <w:rFonts w:ascii="Calibri" w:hAnsi="Calibri"/>
      <w:b/>
      <w:bCs/>
      <w:sz w:val="20"/>
      <w:szCs w:val="20"/>
    </w:rPr>
  </w:style>
  <w:style w:type="table" w:customStyle="1" w:styleId="TableGrid2">
    <w:name w:val="Table Grid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26779"/>
  </w:style>
  <w:style w:type="table" w:customStyle="1" w:styleId="TableGrid7">
    <w:name w:val="Table Grid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6779"/>
    <w:rPr>
      <w:color w:val="800080" w:themeColor="followedHyperlink"/>
      <w:u w:val="single"/>
    </w:rPr>
  </w:style>
  <w:style w:type="character" w:styleId="PlaceholderText">
    <w:name w:val="Placeholder Text"/>
    <w:basedOn w:val="DefaultParagraphFont"/>
    <w:uiPriority w:val="99"/>
    <w:semiHidden/>
    <w:rsid w:val="00126779"/>
    <w:rPr>
      <w:color w:val="808080"/>
    </w:rPr>
  </w:style>
  <w:style w:type="table" w:customStyle="1" w:styleId="TableGrid9">
    <w:name w:val="Table Grid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779"/>
    <w:rPr>
      <w:rFonts w:ascii="Calibri" w:hAnsi="Calibri"/>
      <w:sz w:val="22"/>
    </w:rPr>
  </w:style>
  <w:style w:type="paragraph" w:styleId="TOC3">
    <w:name w:val="toc 3"/>
    <w:basedOn w:val="Normal"/>
    <w:next w:val="Normal"/>
    <w:autoRedefine/>
    <w:uiPriority w:val="39"/>
    <w:unhideWhenUsed/>
    <w:rsid w:val="00126779"/>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12677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12677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12677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12677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12677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126779"/>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26779"/>
  </w:style>
  <w:style w:type="numbering" w:customStyle="1" w:styleId="NoList111">
    <w:name w:val="No List111"/>
    <w:next w:val="NoList"/>
    <w:uiPriority w:val="99"/>
    <w:semiHidden/>
    <w:unhideWhenUsed/>
    <w:rsid w:val="00126779"/>
  </w:style>
  <w:style w:type="table" w:customStyle="1" w:styleId="TableGrid21">
    <w:name w:val="Table Grid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26779"/>
  </w:style>
  <w:style w:type="table" w:customStyle="1" w:styleId="TableGrid72">
    <w:name w:val="Table Grid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6779"/>
  </w:style>
  <w:style w:type="numbering" w:customStyle="1" w:styleId="NoList12">
    <w:name w:val="No List12"/>
    <w:next w:val="NoList"/>
    <w:uiPriority w:val="99"/>
    <w:semiHidden/>
    <w:unhideWhenUsed/>
    <w:rsid w:val="00126779"/>
  </w:style>
  <w:style w:type="table" w:customStyle="1" w:styleId="TableGrid24">
    <w:name w:val="Table Grid2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6779"/>
  </w:style>
  <w:style w:type="table" w:customStyle="1" w:styleId="TableGrid73">
    <w:name w:val="Table Grid7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126779"/>
    <w:pPr>
      <w:numPr>
        <w:numId w:val="37"/>
      </w:numPr>
    </w:pPr>
  </w:style>
  <w:style w:type="table" w:customStyle="1" w:styleId="TableGrid914">
    <w:name w:val="Table Grid914"/>
    <w:basedOn w:val="TableNormal"/>
    <w:next w:val="TableGrid"/>
    <w:uiPriority w:val="59"/>
    <w:rsid w:val="00315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hyperlink" Target="https://www.oxford.gov.uk/downloads/download/736/oxford_sustainability_index_2016"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s://www.oxford.gov.uk/downloads/file/3832/air_quality_annual_status_report_2016"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s://www.oxford.gov.uk/info/20067/planning_policy/319/houses_in_multiple_occupation" TargetMode="External"/><Relationship Id="rId33" Type="http://schemas.openxmlformats.org/officeDocument/2006/relationships/hyperlink" Target="https://www.oxford.gov.uk/downloads/file/5023/consultation_statement_-_preferred_options" TargetMode="External"/><Relationship Id="rId38" Type="http://schemas.openxmlformats.org/officeDocument/2006/relationships/hyperlink" Target="https://www.oxfordshire.gov.uk/cms/public-site/public-rights-way"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mycouncil.oxford.gov.uk/ieListDocuments.aspx?CId=157&amp;MId=4106&amp;Ver=4"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chart" Target="charts/chart7.xml"/><Relationship Id="rId32" Type="http://schemas.openxmlformats.org/officeDocument/2006/relationships/image" Target="media/image13.png"/><Relationship Id="rId37" Type="http://schemas.openxmlformats.org/officeDocument/2006/relationships/hyperlink" Target="http://mycouncil.oxford.gov.uk/ieListDocuments.aspx?CId=119&amp;MId=3258&amp;Ver=4" TargetMode="External"/><Relationship Id="rId40" Type="http://schemas.openxmlformats.org/officeDocument/2006/relationships/hyperlink" Target="https://www.nomisweb.co.uk/reports/lmp/la/1946157324/report.aspx?town=oxford"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6.xml"/><Relationship Id="rId28" Type="http://schemas.openxmlformats.org/officeDocument/2006/relationships/image" Target="media/image9.jpeg"/><Relationship Id="rId36" Type="http://schemas.openxmlformats.org/officeDocument/2006/relationships/hyperlink" Target="http://www.tverc.org/cms/" TargetMode="Externa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s://designatedsites.naturalengland.org.uk/ReportUnitCondition.aspx?SiteCode=S1000153&amp;ReportTitle=PORT%20MEADOW%20WITH%20WOLVERCOTE%20COMMON%20&amp;%20GRE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xford.gov.uk/downloads/file/3795/oxford_economic_profile_january_2018" TargetMode="External"/><Relationship Id="rId13" Type="http://schemas.openxmlformats.org/officeDocument/2006/relationships/hyperlink" Target="http://planningguidance.communities.gov.uk/blog/guidance/housing-and-economic-land-availability-assessment/stage-5-final-evidence-base/" TargetMode="External"/><Relationship Id="rId18" Type="http://schemas.openxmlformats.org/officeDocument/2006/relationships/hyperlink" Target="https://www.oxford.gov.uk/info/20131/population/497/poverty_and_deprivationhttps:/www.oxford.gov.uk/corporateplan" TargetMode="External"/><Relationship Id="rId3" Type="http://schemas.openxmlformats.org/officeDocument/2006/relationships/hyperlink" Target="https://www.nomisweb.co.uk/reports/lmp/la/1946157324/report.aspx?town=oxford" TargetMode="External"/><Relationship Id="rId21" Type="http://schemas.openxmlformats.org/officeDocument/2006/relationships/hyperlink" Target="https://www.oxford.gov.uk/downloads/file/2655/oxford_sustainability_index_2016" TargetMode="External"/><Relationship Id="rId7" Type="http://schemas.openxmlformats.org/officeDocument/2006/relationships/hyperlink" Target="https://www.ox.ac.uk/sites/files/oxford/Economic%20Impact%20of%20the%20University%20of%20Oxford.pdf" TargetMode="External"/><Relationship Id="rId12" Type="http://schemas.openxmlformats.org/officeDocument/2006/relationships/hyperlink" Target="http://planningguidance.communities.gov.uk/blog/guidance/housing-and-economic-land-availability-assessment/stage-5-final-evidence-base/" TargetMode="External"/><Relationship Id="rId17" Type="http://schemas.openxmlformats.org/officeDocument/2006/relationships/hyperlink" Target="https://www.oxford.gov.uk/downloads/file/5021/oxford_profile_2018" TargetMode="External"/><Relationship Id="rId2" Type="http://schemas.openxmlformats.org/officeDocument/2006/relationships/hyperlink" Target="https://www.nomisweb.co.uk/reports/lmp/la/1946157324/report.aspx?town=oxford" TargetMode="External"/><Relationship Id="rId16" Type="http://schemas.openxmlformats.org/officeDocument/2006/relationships/hyperlink" Target="https://www.nomisweb.co.uk/reports/localarea?compare=1946157324" TargetMode="External"/><Relationship Id="rId20" Type="http://schemas.openxmlformats.org/officeDocument/2006/relationships/hyperlink" Target="http://www.oxford.gov.uk/PageRender/decC/Poverty_and_deprivation_statistics_occw.htm" TargetMode="External"/><Relationship Id="rId1" Type="http://schemas.openxmlformats.org/officeDocument/2006/relationships/hyperlink" Target="https://www.nomisweb.co.uk/reports/lmp/la/1946157324/report.aspx?town=oxford" TargetMode="External"/><Relationship Id="rId6" Type="http://schemas.openxmlformats.org/officeDocument/2006/relationships/hyperlink" Target="http://www.enterpriseresearch.ac.uk/wp-content/uploads/2015/05/Benchmarking-Local-Innovation1.pdf" TargetMode="External"/><Relationship Id="rId11" Type="http://schemas.openxmlformats.org/officeDocument/2006/relationships/hyperlink" Target="http://www.centreforcities.org/data-tool/" TargetMode="External"/><Relationship Id="rId24" Type="http://schemas.openxmlformats.org/officeDocument/2006/relationships/hyperlink" Target="https://www.oxford.gov.uk/downloads/file/2874/green_space_strategy_2013-2027" TargetMode="External"/><Relationship Id="rId5" Type="http://schemas.openxmlformats.org/officeDocument/2006/relationships/hyperlink" Target="http://www.centreforcities.org/city/oxford/" TargetMode="External"/><Relationship Id="rId15" Type="http://schemas.openxmlformats.org/officeDocument/2006/relationships/hyperlink" Target="http://mycouncil.oxford.gov.uk/ieListDocuments.aspx?CId=119&amp;MId=3463&amp;Ver=4" TargetMode="External"/><Relationship Id="rId23" Type="http://schemas.openxmlformats.org/officeDocument/2006/relationships/hyperlink" Target="https://www.oxford.gov.uk/downloads/file/2655/oxford_sustainability_index_2016" TargetMode="External"/><Relationship Id="rId10" Type="http://schemas.openxmlformats.org/officeDocument/2006/relationships/hyperlink" Target="https://www.oxford.gov.uk/downloads/file/4809/housing_needs_performance_2017-18" TargetMode="External"/><Relationship Id="rId19" Type="http://schemas.openxmlformats.org/officeDocument/2006/relationships/hyperlink" Target="https://www.oxford.gov.uk/downloads/file/5021/oxford_profile_2018" TargetMode="External"/><Relationship Id="rId4" Type="http://schemas.openxmlformats.org/officeDocument/2006/relationships/hyperlink" Target="https://www.nomisweb.co.uk/reports/lmp/la/1946157324/report.aspx?" TargetMode="External"/><Relationship Id="rId9" Type="http://schemas.openxmlformats.org/officeDocument/2006/relationships/hyperlink" Target="https://www.oxford.gov.uk/downloads/file/4809/housing_needs_performance_2017-18" TargetMode="External"/><Relationship Id="rId14" Type="http://schemas.openxmlformats.org/officeDocument/2006/relationships/hyperlink" Target="http://mycouncil.oxford.gov.uk/ieListDocuments.aspx?CId=119&amp;MId=3463&amp;Ver=4" TargetMode="External"/><Relationship Id="rId22" Type="http://schemas.openxmlformats.org/officeDocument/2006/relationships/hyperlink" Target="https://www.oxford.gov.uk/downloads/file/2655/oxford_sustainability_index_20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2%20Housing%20Data%202016-17\Housing%20Graphs%20for%20AMR%202016-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2%20Housing%20Data%202016-17\_Universities%20Student%20Data\Students%20outside%20of%20university%20provided%20accomodation%20-%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2%20Housing%20Data%202016-17\_Universities%20Student%20Data\Students%20outside%20of%20university%20provided%20accomodation%20-%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7.4376226227535522E-2"/>
          <c:y val="3.6514947826643621E-2"/>
          <c:w val="0.81717579619191716"/>
          <c:h val="0.79440781284453266"/>
        </c:manualLayout>
      </c:layout>
      <c:barChart>
        <c:barDir val="col"/>
        <c:grouping val="clustered"/>
        <c:varyColors val="0"/>
        <c:ser>
          <c:idx val="0"/>
          <c:order val="0"/>
          <c:tx>
            <c:v>2012/13</c:v>
          </c:tx>
          <c:invertIfNegative val="0"/>
          <c:cat>
            <c:strLit>
              <c:ptCount val="5"/>
              <c:pt idx="0">
                <c:v>City Centre (Primary Frontage)</c:v>
              </c:pt>
              <c:pt idx="1">
                <c:v> Cowley Centre</c:v>
              </c:pt>
              <c:pt idx="2">
                <c:v> East Oxford-Cowley Road</c:v>
              </c:pt>
              <c:pt idx="3">
                <c:v> Headington</c:v>
              </c:pt>
              <c:pt idx="4">
                <c:v> Summertown</c:v>
              </c:pt>
            </c:strLit>
          </c:cat>
          <c:val>
            <c:numRef>
              <c:f>Sheet1!$L$30:$L$34</c:f>
              <c:numCache>
                <c:formatCode>0.00</c:formatCode>
                <c:ptCount val="5"/>
                <c:pt idx="0">
                  <c:v>2</c:v>
                </c:pt>
                <c:pt idx="1">
                  <c:v>7</c:v>
                </c:pt>
                <c:pt idx="2">
                  <c:v>2</c:v>
                </c:pt>
                <c:pt idx="3">
                  <c:v>3</c:v>
                </c:pt>
                <c:pt idx="4">
                  <c:v>2</c:v>
                </c:pt>
              </c:numCache>
            </c:numRef>
          </c:val>
          <c:extLst xmlns:c16r2="http://schemas.microsoft.com/office/drawing/2015/06/chart">
            <c:ext xmlns:c16="http://schemas.microsoft.com/office/drawing/2014/chart" uri="{C3380CC4-5D6E-409C-BE32-E72D297353CC}">
              <c16:uniqueId val="{00000000-ADF9-482A-9831-D98F997DB4E5}"/>
            </c:ext>
          </c:extLst>
        </c:ser>
        <c:ser>
          <c:idx val="1"/>
          <c:order val="1"/>
          <c:tx>
            <c:v>2013/14</c:v>
          </c:tx>
          <c:invertIfNegative val="0"/>
          <c:cat>
            <c:strLit>
              <c:ptCount val="5"/>
              <c:pt idx="0">
                <c:v>City Centre (Primary Frontage)</c:v>
              </c:pt>
              <c:pt idx="1">
                <c:v> Cowley Centre</c:v>
              </c:pt>
              <c:pt idx="2">
                <c:v> East Oxford-Cowley Road</c:v>
              </c:pt>
              <c:pt idx="3">
                <c:v> Headington</c:v>
              </c:pt>
              <c:pt idx="4">
                <c:v> Summertown</c:v>
              </c:pt>
            </c:strLit>
          </c:cat>
          <c:val>
            <c:numRef>
              <c:f>Sheet1!$K$30:$K$34</c:f>
              <c:numCache>
                <c:formatCode>0.00</c:formatCode>
                <c:ptCount val="5"/>
                <c:pt idx="0">
                  <c:v>6.2</c:v>
                </c:pt>
                <c:pt idx="1">
                  <c:v>10</c:v>
                </c:pt>
                <c:pt idx="2">
                  <c:v>1.9</c:v>
                </c:pt>
                <c:pt idx="3">
                  <c:v>5.4</c:v>
                </c:pt>
                <c:pt idx="4">
                  <c:v>2</c:v>
                </c:pt>
              </c:numCache>
            </c:numRef>
          </c:val>
          <c:extLst xmlns:c16r2="http://schemas.microsoft.com/office/drawing/2015/06/chart">
            <c:ext xmlns:c16="http://schemas.microsoft.com/office/drawing/2014/chart" uri="{C3380CC4-5D6E-409C-BE32-E72D297353CC}">
              <c16:uniqueId val="{00000001-ADF9-482A-9831-D98F997DB4E5}"/>
            </c:ext>
          </c:extLst>
        </c:ser>
        <c:ser>
          <c:idx val="2"/>
          <c:order val="2"/>
          <c:tx>
            <c:v>2014/15</c:v>
          </c:tx>
          <c:invertIfNegative val="0"/>
          <c:cat>
            <c:strLit>
              <c:ptCount val="5"/>
              <c:pt idx="0">
                <c:v>City Centre (Primary Frontage)</c:v>
              </c:pt>
              <c:pt idx="1">
                <c:v> Cowley Centre</c:v>
              </c:pt>
              <c:pt idx="2">
                <c:v> East Oxford-Cowley Road</c:v>
              </c:pt>
              <c:pt idx="3">
                <c:v> Headington</c:v>
              </c:pt>
              <c:pt idx="4">
                <c:v> Summertown</c:v>
              </c:pt>
            </c:strLit>
          </c:cat>
          <c:val>
            <c:numRef>
              <c:f>Sheet1!$J$30:$J$34</c:f>
              <c:numCache>
                <c:formatCode>0.00</c:formatCode>
                <c:ptCount val="5"/>
                <c:pt idx="0">
                  <c:v>6.2</c:v>
                </c:pt>
                <c:pt idx="1">
                  <c:v>11</c:v>
                </c:pt>
                <c:pt idx="2" formatCode="General">
                  <c:v>3.77</c:v>
                </c:pt>
                <c:pt idx="3" formatCode="General">
                  <c:v>2.68</c:v>
                </c:pt>
                <c:pt idx="4">
                  <c:v>3</c:v>
                </c:pt>
              </c:numCache>
            </c:numRef>
          </c:val>
          <c:extLst xmlns:c16r2="http://schemas.microsoft.com/office/drawing/2015/06/chart">
            <c:ext xmlns:c16="http://schemas.microsoft.com/office/drawing/2014/chart" uri="{C3380CC4-5D6E-409C-BE32-E72D297353CC}">
              <c16:uniqueId val="{00000002-ADF9-482A-9831-D98F997DB4E5}"/>
            </c:ext>
          </c:extLst>
        </c:ser>
        <c:ser>
          <c:idx val="3"/>
          <c:order val="3"/>
          <c:tx>
            <c:v>2015/16</c:v>
          </c:tx>
          <c:invertIfNegative val="0"/>
          <c:cat>
            <c:strLit>
              <c:ptCount val="5"/>
              <c:pt idx="0">
                <c:v>City Centre (Primary Frontage)</c:v>
              </c:pt>
              <c:pt idx="1">
                <c:v> Cowley Centre</c:v>
              </c:pt>
              <c:pt idx="2">
                <c:v> East Oxford-Cowley Road</c:v>
              </c:pt>
              <c:pt idx="3">
                <c:v> Headington</c:v>
              </c:pt>
              <c:pt idx="4">
                <c:v> Summertown</c:v>
              </c:pt>
            </c:strLit>
          </c:cat>
          <c:val>
            <c:numRef>
              <c:f>Sheet1!$I$30:$I$34</c:f>
              <c:numCache>
                <c:formatCode>General</c:formatCode>
                <c:ptCount val="5"/>
                <c:pt idx="0">
                  <c:v>4.0199999999999996</c:v>
                </c:pt>
                <c:pt idx="1">
                  <c:v>6.45</c:v>
                </c:pt>
                <c:pt idx="2">
                  <c:v>3.77</c:v>
                </c:pt>
                <c:pt idx="3">
                  <c:v>7.14</c:v>
                </c:pt>
                <c:pt idx="4" formatCode="0.00">
                  <c:v>6</c:v>
                </c:pt>
              </c:numCache>
            </c:numRef>
          </c:val>
          <c:extLst xmlns:c16r2="http://schemas.microsoft.com/office/drawing/2015/06/chart">
            <c:ext xmlns:c16="http://schemas.microsoft.com/office/drawing/2014/chart" uri="{C3380CC4-5D6E-409C-BE32-E72D297353CC}">
              <c16:uniqueId val="{00000003-ADF9-482A-9831-D98F997DB4E5}"/>
            </c:ext>
          </c:extLst>
        </c:ser>
        <c:ser>
          <c:idx val="4"/>
          <c:order val="4"/>
          <c:tx>
            <c:v>2016/17</c:v>
          </c:tx>
          <c:invertIfNegative val="0"/>
          <c:cat>
            <c:strLit>
              <c:ptCount val="5"/>
              <c:pt idx="0">
                <c:v>City Centre (Primary Frontage)</c:v>
              </c:pt>
              <c:pt idx="1">
                <c:v> Cowley Centre</c:v>
              </c:pt>
              <c:pt idx="2">
                <c:v> East Oxford-Cowley Road</c:v>
              </c:pt>
              <c:pt idx="3">
                <c:v> Headington</c:v>
              </c:pt>
              <c:pt idx="4">
                <c:v> Summertown</c:v>
              </c:pt>
            </c:strLit>
          </c:cat>
          <c:val>
            <c:numRef>
              <c:f>Sheet1!$H$30:$H$34</c:f>
              <c:numCache>
                <c:formatCode>General</c:formatCode>
                <c:ptCount val="5"/>
                <c:pt idx="0">
                  <c:v>8.3800000000000008</c:v>
                </c:pt>
                <c:pt idx="1">
                  <c:v>6.45</c:v>
                </c:pt>
                <c:pt idx="2">
                  <c:v>9.43</c:v>
                </c:pt>
                <c:pt idx="3">
                  <c:v>5.41</c:v>
                </c:pt>
                <c:pt idx="4" formatCode="0.00">
                  <c:v>8</c:v>
                </c:pt>
              </c:numCache>
            </c:numRef>
          </c:val>
          <c:extLst xmlns:c16r2="http://schemas.microsoft.com/office/drawing/2015/06/chart">
            <c:ext xmlns:c16="http://schemas.microsoft.com/office/drawing/2014/chart" uri="{C3380CC4-5D6E-409C-BE32-E72D297353CC}">
              <c16:uniqueId val="{00000004-ADF9-482A-9831-D98F997DB4E5}"/>
            </c:ext>
          </c:extLst>
        </c:ser>
        <c:ser>
          <c:idx val="5"/>
          <c:order val="5"/>
          <c:tx>
            <c:v>2017/18</c:v>
          </c:tx>
          <c:invertIfNegative val="0"/>
          <c:cat>
            <c:strLit>
              <c:ptCount val="5"/>
              <c:pt idx="0">
                <c:v>City Centre (Primary Frontage)</c:v>
              </c:pt>
              <c:pt idx="1">
                <c:v> Cowley Centre</c:v>
              </c:pt>
              <c:pt idx="2">
                <c:v> East Oxford-Cowley Road</c:v>
              </c:pt>
              <c:pt idx="3">
                <c:v> Headington</c:v>
              </c:pt>
              <c:pt idx="4">
                <c:v> Summertown</c:v>
              </c:pt>
            </c:strLit>
          </c:cat>
          <c:val>
            <c:numRef>
              <c:f>Sheet1!$G$30:$G$34</c:f>
              <c:numCache>
                <c:formatCode>General</c:formatCode>
                <c:ptCount val="5"/>
                <c:pt idx="0">
                  <c:v>10.68</c:v>
                </c:pt>
                <c:pt idx="1">
                  <c:v>6.52</c:v>
                </c:pt>
                <c:pt idx="2">
                  <c:v>7.27</c:v>
                </c:pt>
                <c:pt idx="3">
                  <c:v>2.75</c:v>
                </c:pt>
                <c:pt idx="4" formatCode="0.00">
                  <c:v>8</c:v>
                </c:pt>
              </c:numCache>
            </c:numRef>
          </c:val>
          <c:extLst xmlns:c16r2="http://schemas.microsoft.com/office/drawing/2015/06/chart">
            <c:ext xmlns:c16="http://schemas.microsoft.com/office/drawing/2014/chart" uri="{C3380CC4-5D6E-409C-BE32-E72D297353CC}">
              <c16:uniqueId val="{00000005-ADF9-482A-9831-D98F997DB4E5}"/>
            </c:ext>
          </c:extLst>
        </c:ser>
        <c:dLbls>
          <c:showLegendKey val="0"/>
          <c:showVal val="0"/>
          <c:showCatName val="0"/>
          <c:showSerName val="0"/>
          <c:showPercent val="0"/>
          <c:showBubbleSize val="0"/>
        </c:dLbls>
        <c:gapWidth val="150"/>
        <c:axId val="71575808"/>
        <c:axId val="71577600"/>
      </c:barChart>
      <c:catAx>
        <c:axId val="71575808"/>
        <c:scaling>
          <c:orientation val="minMax"/>
        </c:scaling>
        <c:delete val="0"/>
        <c:axPos val="b"/>
        <c:numFmt formatCode="General" sourceLinked="1"/>
        <c:majorTickMark val="out"/>
        <c:minorTickMark val="none"/>
        <c:tickLblPos val="nextTo"/>
        <c:crossAx val="71577600"/>
        <c:crosses val="autoZero"/>
        <c:auto val="1"/>
        <c:lblAlgn val="ctr"/>
        <c:lblOffset val="100"/>
        <c:noMultiLvlLbl val="0"/>
      </c:catAx>
      <c:valAx>
        <c:axId val="71577600"/>
        <c:scaling>
          <c:orientation val="minMax"/>
        </c:scaling>
        <c:delete val="0"/>
        <c:axPos val="l"/>
        <c:majorGridlines/>
        <c:numFmt formatCode="0.00" sourceLinked="1"/>
        <c:majorTickMark val="out"/>
        <c:minorTickMark val="none"/>
        <c:tickLblPos val="nextTo"/>
        <c:crossAx val="71575808"/>
        <c:crosses val="autoZero"/>
        <c:crossBetween val="between"/>
      </c:valAx>
    </c:plotArea>
    <c:legend>
      <c:legendPos val="r"/>
      <c:layout>
        <c:manualLayout>
          <c:xMode val="edge"/>
          <c:yMode val="edge"/>
          <c:x val="0.86726356846539154"/>
          <c:y val="3.6572170638948874E-2"/>
          <c:w val="0.13049114908067322"/>
          <c:h val="0.392753867439044"/>
        </c:manualLayout>
      </c:layout>
      <c:overlay val="0"/>
    </c:legend>
    <c:plotVisOnly val="1"/>
    <c:dispBlanksAs val="gap"/>
    <c:showDLblsOverMax val="0"/>
  </c:chart>
  <c:spPr>
    <a:ln>
      <a:solidFill>
        <a:schemeClr val="bg1">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Actual past completions</c:v>
                </c:pt>
              </c:strCache>
            </c:strRef>
          </c:tx>
          <c:spPr>
            <a:solidFill>
              <a:srgbClr val="92D050"/>
            </a:solidFill>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Sheet1!$B$2:$U$2</c:f>
              <c:numCache>
                <c:formatCode>General</c:formatCode>
                <c:ptCount val="20"/>
                <c:pt idx="0">
                  <c:v>821</c:v>
                </c:pt>
                <c:pt idx="1">
                  <c:v>529</c:v>
                </c:pt>
                <c:pt idx="2">
                  <c:v>665</c:v>
                </c:pt>
                <c:pt idx="3">
                  <c:v>257</c:v>
                </c:pt>
                <c:pt idx="4">
                  <c:v>200</c:v>
                </c:pt>
                <c:pt idx="5">
                  <c:v>228</c:v>
                </c:pt>
                <c:pt idx="6">
                  <c:v>213</c:v>
                </c:pt>
                <c:pt idx="7">
                  <c:v>215</c:v>
                </c:pt>
                <c:pt idx="8">
                  <c:v>332</c:v>
                </c:pt>
                <c:pt idx="9">
                  <c:v>383</c:v>
                </c:pt>
                <c:pt idx="10">
                  <c:v>373</c:v>
                </c:pt>
                <c:pt idx="11">
                  <c:v>282</c:v>
                </c:pt>
              </c:numCache>
            </c:numRef>
          </c:val>
          <c:extLst xmlns:c16r2="http://schemas.microsoft.com/office/drawing/2015/06/chart">
            <c:ext xmlns:c16="http://schemas.microsoft.com/office/drawing/2014/chart" uri="{C3380CC4-5D6E-409C-BE32-E72D297353CC}">
              <c16:uniqueId val="{00000000-34CA-4D3D-A055-9341E76EC43E}"/>
            </c:ext>
          </c:extLst>
        </c:ser>
        <c:ser>
          <c:idx val="1"/>
          <c:order val="1"/>
          <c:tx>
            <c:strRef>
              <c:f>Sheet1!$A$3</c:f>
              <c:strCache>
                <c:ptCount val="1"/>
                <c:pt idx="0">
                  <c:v>Projected completions</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Sheet1!$B$3:$U$3</c:f>
              <c:numCache>
                <c:formatCode>General</c:formatCode>
                <c:ptCount val="20"/>
                <c:pt idx="12" formatCode="0">
                  <c:v>329</c:v>
                </c:pt>
                <c:pt idx="13" formatCode="0">
                  <c:v>449.7</c:v>
                </c:pt>
                <c:pt idx="14" formatCode="0">
                  <c:v>880.8</c:v>
                </c:pt>
                <c:pt idx="15" formatCode="0">
                  <c:v>865.5</c:v>
                </c:pt>
                <c:pt idx="16" formatCode="0">
                  <c:v>659.4</c:v>
                </c:pt>
                <c:pt idx="17" formatCode="0">
                  <c:v>968.1</c:v>
                </c:pt>
                <c:pt idx="18" formatCode="0">
                  <c:v>922.2</c:v>
                </c:pt>
                <c:pt idx="19" formatCode="0">
                  <c:v>612.6</c:v>
                </c:pt>
              </c:numCache>
            </c:numRef>
          </c:val>
          <c:extLst xmlns:c16r2="http://schemas.microsoft.com/office/drawing/2015/06/chart">
            <c:ext xmlns:c16="http://schemas.microsoft.com/office/drawing/2014/chart" uri="{C3380CC4-5D6E-409C-BE32-E72D297353CC}">
              <c16:uniqueId val="{00000001-34CA-4D3D-A055-9341E76EC43E}"/>
            </c:ext>
          </c:extLst>
        </c:ser>
        <c:dLbls>
          <c:showLegendKey val="0"/>
          <c:showVal val="0"/>
          <c:showCatName val="0"/>
          <c:showSerName val="0"/>
          <c:showPercent val="0"/>
          <c:showBubbleSize val="0"/>
        </c:dLbls>
        <c:gapWidth val="150"/>
        <c:axId val="96824320"/>
        <c:axId val="96859264"/>
      </c:barChart>
      <c:lineChart>
        <c:grouping val="standard"/>
        <c:varyColors val="0"/>
        <c:ser>
          <c:idx val="2"/>
          <c:order val="2"/>
          <c:tx>
            <c:strRef>
              <c:f>Sheet1!$A$4</c:f>
              <c:strCache>
                <c:ptCount val="1"/>
                <c:pt idx="0">
                  <c:v>Annualised Core Strategy target</c:v>
                </c:pt>
              </c:strCache>
            </c:strRef>
          </c:tx>
          <c:marker>
            <c:symbol val="none"/>
          </c:marker>
          <c:cat>
            <c:strRef>
              <c:f>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Sheet1!$B$4:$U$4</c:f>
              <c:numCache>
                <c:formatCode>General</c:formatCode>
                <c:ptCount val="20"/>
                <c:pt idx="0">
                  <c:v>400</c:v>
                </c:pt>
                <c:pt idx="1">
                  <c:v>400</c:v>
                </c:pt>
                <c:pt idx="2">
                  <c:v>400</c:v>
                </c:pt>
                <c:pt idx="3">
                  <c:v>400</c:v>
                </c:pt>
                <c:pt idx="4">
                  <c:v>400</c:v>
                </c:pt>
                <c:pt idx="5">
                  <c:v>400</c:v>
                </c:pt>
                <c:pt idx="6">
                  <c:v>400</c:v>
                </c:pt>
                <c:pt idx="7">
                  <c:v>400</c:v>
                </c:pt>
                <c:pt idx="8">
                  <c:v>400</c:v>
                </c:pt>
                <c:pt idx="9">
                  <c:v>400</c:v>
                </c:pt>
                <c:pt idx="10">
                  <c:v>400</c:v>
                </c:pt>
                <c:pt idx="11">
                  <c:v>400</c:v>
                </c:pt>
                <c:pt idx="12">
                  <c:v>400</c:v>
                </c:pt>
                <c:pt idx="13">
                  <c:v>400</c:v>
                </c:pt>
                <c:pt idx="14">
                  <c:v>400</c:v>
                </c:pt>
                <c:pt idx="15">
                  <c:v>400</c:v>
                </c:pt>
                <c:pt idx="16">
                  <c:v>400</c:v>
                </c:pt>
                <c:pt idx="17">
                  <c:v>400</c:v>
                </c:pt>
                <c:pt idx="18">
                  <c:v>400</c:v>
                </c:pt>
                <c:pt idx="19">
                  <c:v>400</c:v>
                </c:pt>
              </c:numCache>
            </c:numRef>
          </c:val>
          <c:smooth val="0"/>
          <c:extLst xmlns:c16r2="http://schemas.microsoft.com/office/drawing/2015/06/chart">
            <c:ext xmlns:c16="http://schemas.microsoft.com/office/drawing/2014/chart" uri="{C3380CC4-5D6E-409C-BE32-E72D297353CC}">
              <c16:uniqueId val="{00000002-34CA-4D3D-A055-9341E76EC43E}"/>
            </c:ext>
          </c:extLst>
        </c:ser>
        <c:ser>
          <c:idx val="3"/>
          <c:order val="3"/>
          <c:tx>
            <c:strRef>
              <c:f>Sheet1!$A$6</c:f>
              <c:strCache>
                <c:ptCount val="1"/>
                <c:pt idx="0">
                  <c:v>Manage: Annual requirement taking account of housing delivered/projected</c:v>
                </c:pt>
              </c:strCache>
            </c:strRef>
          </c:tx>
          <c:marker>
            <c:symbol val="none"/>
          </c:marker>
          <c:cat>
            <c:strRef>
              <c:f>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Sheet1!$B$6:$U$6</c:f>
              <c:numCache>
                <c:formatCode>General</c:formatCode>
                <c:ptCount val="20"/>
                <c:pt idx="0">
                  <c:v>358.95</c:v>
                </c:pt>
                <c:pt idx="1">
                  <c:v>332.5</c:v>
                </c:pt>
                <c:pt idx="2">
                  <c:v>299.25</c:v>
                </c:pt>
                <c:pt idx="3">
                  <c:v>286.39999999999998</c:v>
                </c:pt>
                <c:pt idx="4">
                  <c:v>276.39999999999998</c:v>
                </c:pt>
                <c:pt idx="5">
                  <c:v>265</c:v>
                </c:pt>
                <c:pt idx="6">
                  <c:v>254.35</c:v>
                </c:pt>
                <c:pt idx="7">
                  <c:v>243.6</c:v>
                </c:pt>
                <c:pt idx="8">
                  <c:v>227</c:v>
                </c:pt>
                <c:pt idx="9">
                  <c:v>207.85</c:v>
                </c:pt>
                <c:pt idx="10">
                  <c:v>189.2</c:v>
                </c:pt>
                <c:pt idx="11">
                  <c:v>175.1</c:v>
                </c:pt>
                <c:pt idx="12">
                  <c:v>158.65</c:v>
                </c:pt>
                <c:pt idx="13">
                  <c:v>136.16500000000002</c:v>
                </c:pt>
                <c:pt idx="14">
                  <c:v>92.125000000000014</c:v>
                </c:pt>
                <c:pt idx="15">
                  <c:v>48.850000000000009</c:v>
                </c:pt>
                <c:pt idx="16">
                  <c:v>15.880000000000013</c:v>
                </c:pt>
                <c:pt idx="17">
                  <c:v>-32.524999999999991</c:v>
                </c:pt>
              </c:numCache>
            </c:numRef>
          </c:val>
          <c:smooth val="0"/>
          <c:extLst xmlns:c16r2="http://schemas.microsoft.com/office/drawing/2015/06/chart">
            <c:ext xmlns:c16="http://schemas.microsoft.com/office/drawing/2014/chart" uri="{C3380CC4-5D6E-409C-BE32-E72D297353CC}">
              <c16:uniqueId val="{00000003-34CA-4D3D-A055-9341E76EC43E}"/>
            </c:ext>
          </c:extLst>
        </c:ser>
        <c:dLbls>
          <c:showLegendKey val="0"/>
          <c:showVal val="0"/>
          <c:showCatName val="0"/>
          <c:showSerName val="0"/>
          <c:showPercent val="0"/>
          <c:showBubbleSize val="0"/>
        </c:dLbls>
        <c:marker val="1"/>
        <c:smooth val="0"/>
        <c:axId val="96824320"/>
        <c:axId val="96859264"/>
      </c:lineChart>
      <c:catAx>
        <c:axId val="96824320"/>
        <c:scaling>
          <c:orientation val="minMax"/>
        </c:scaling>
        <c:delete val="0"/>
        <c:axPos val="b"/>
        <c:title>
          <c:tx>
            <c:rich>
              <a:bodyPr/>
              <a:lstStyle/>
              <a:p>
                <a:pPr>
                  <a:defRPr/>
                </a:pPr>
                <a:r>
                  <a:rPr lang="en-GB"/>
                  <a:t>Monitoring</a:t>
                </a:r>
                <a:r>
                  <a:rPr lang="en-GB" baseline="0"/>
                  <a:t> year</a:t>
                </a:r>
                <a:endParaRPr lang="en-GB"/>
              </a:p>
            </c:rich>
          </c:tx>
          <c:layout/>
          <c:overlay val="0"/>
        </c:title>
        <c:numFmt formatCode="General" sourceLinked="0"/>
        <c:majorTickMark val="out"/>
        <c:minorTickMark val="none"/>
        <c:tickLblPos val="nextTo"/>
        <c:crossAx val="96859264"/>
        <c:crosses val="autoZero"/>
        <c:auto val="1"/>
        <c:lblAlgn val="ctr"/>
        <c:lblOffset val="100"/>
        <c:noMultiLvlLbl val="0"/>
      </c:catAx>
      <c:valAx>
        <c:axId val="96859264"/>
        <c:scaling>
          <c:orientation val="minMax"/>
        </c:scaling>
        <c:delete val="0"/>
        <c:axPos val="l"/>
        <c:title>
          <c:tx>
            <c:rich>
              <a:bodyPr rot="-5400000" vert="horz"/>
              <a:lstStyle/>
              <a:p>
                <a:pPr>
                  <a:defRPr/>
                </a:pPr>
                <a:r>
                  <a:rPr lang="en-GB"/>
                  <a:t>Number</a:t>
                </a:r>
                <a:r>
                  <a:rPr lang="en-GB" baseline="0"/>
                  <a:t> of dwellings</a:t>
                </a:r>
                <a:endParaRPr lang="en-GB"/>
              </a:p>
            </c:rich>
          </c:tx>
          <c:layout/>
          <c:overlay val="0"/>
        </c:title>
        <c:numFmt formatCode="General" sourceLinked="1"/>
        <c:majorTickMark val="out"/>
        <c:minorTickMark val="none"/>
        <c:tickLblPos val="nextTo"/>
        <c:crossAx val="9682432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Sheet1!$A$2</c:f>
              <c:strCache>
                <c:ptCount val="1"/>
                <c:pt idx="0">
                  <c:v>Affordable dwellings completed</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Sheet1!$B$1:$M$1</c:f>
              <c:strCache>
                <c:ptCount val="12"/>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strCache>
            </c:strRef>
          </c:cat>
          <c:val>
            <c:numRef>
              <c:f>Sheet1!$B$2:$M$2</c:f>
              <c:numCache>
                <c:formatCode>General</c:formatCode>
                <c:ptCount val="12"/>
                <c:pt idx="0">
                  <c:v>267</c:v>
                </c:pt>
                <c:pt idx="1">
                  <c:v>73</c:v>
                </c:pt>
                <c:pt idx="2">
                  <c:v>231</c:v>
                </c:pt>
                <c:pt idx="3">
                  <c:v>192</c:v>
                </c:pt>
                <c:pt idx="4">
                  <c:v>105</c:v>
                </c:pt>
                <c:pt idx="5">
                  <c:v>18</c:v>
                </c:pt>
                <c:pt idx="6">
                  <c:v>90</c:v>
                </c:pt>
                <c:pt idx="7">
                  <c:v>0</c:v>
                </c:pt>
                <c:pt idx="8">
                  <c:v>17</c:v>
                </c:pt>
                <c:pt idx="9">
                  <c:v>164</c:v>
                </c:pt>
                <c:pt idx="10">
                  <c:v>20</c:v>
                </c:pt>
                <c:pt idx="11">
                  <c:v>18</c:v>
                </c:pt>
              </c:numCache>
            </c:numRef>
          </c:val>
          <c:extLst xmlns:c16r2="http://schemas.microsoft.com/office/drawing/2015/06/chart">
            <c:ext xmlns:c16="http://schemas.microsoft.com/office/drawing/2014/chart" uri="{C3380CC4-5D6E-409C-BE32-E72D297353CC}">
              <c16:uniqueId val="{00000000-4AC2-45D3-8332-3BD3A0408DF1}"/>
            </c:ext>
          </c:extLst>
        </c:ser>
        <c:dLbls>
          <c:showLegendKey val="0"/>
          <c:showVal val="0"/>
          <c:showCatName val="0"/>
          <c:showSerName val="0"/>
          <c:showPercent val="0"/>
          <c:showBubbleSize val="0"/>
        </c:dLbls>
        <c:gapWidth val="150"/>
        <c:axId val="103367424"/>
        <c:axId val="103369344"/>
      </c:barChart>
      <c:catAx>
        <c:axId val="103367424"/>
        <c:scaling>
          <c:orientation val="minMax"/>
        </c:scaling>
        <c:delete val="0"/>
        <c:axPos val="b"/>
        <c:title>
          <c:tx>
            <c:rich>
              <a:bodyPr/>
              <a:lstStyle/>
              <a:p>
                <a:pPr>
                  <a:defRPr/>
                </a:pPr>
                <a:r>
                  <a:rPr lang="en-GB"/>
                  <a:t>Monitoring</a:t>
                </a:r>
                <a:r>
                  <a:rPr lang="en-GB" baseline="0"/>
                  <a:t> year</a:t>
                </a:r>
                <a:endParaRPr lang="en-GB"/>
              </a:p>
            </c:rich>
          </c:tx>
          <c:layout/>
          <c:overlay val="0"/>
        </c:title>
        <c:numFmt formatCode="General" sourceLinked="0"/>
        <c:majorTickMark val="out"/>
        <c:minorTickMark val="none"/>
        <c:tickLblPos val="nextTo"/>
        <c:crossAx val="103369344"/>
        <c:crosses val="autoZero"/>
        <c:auto val="1"/>
        <c:lblAlgn val="ctr"/>
        <c:lblOffset val="100"/>
        <c:noMultiLvlLbl val="0"/>
      </c:catAx>
      <c:valAx>
        <c:axId val="103369344"/>
        <c:scaling>
          <c:orientation val="minMax"/>
        </c:scaling>
        <c:delete val="0"/>
        <c:axPos val="l"/>
        <c:majorGridlines/>
        <c:title>
          <c:tx>
            <c:rich>
              <a:bodyPr rot="-5400000" vert="horz"/>
              <a:lstStyle/>
              <a:p>
                <a:pPr>
                  <a:defRPr/>
                </a:pPr>
                <a:r>
                  <a:rPr lang="en-GB"/>
                  <a:t>Affordable</a:t>
                </a:r>
                <a:r>
                  <a:rPr lang="en-GB" baseline="0"/>
                  <a:t> dwellings completed</a:t>
                </a:r>
                <a:endParaRPr lang="en-GB"/>
              </a:p>
            </c:rich>
          </c:tx>
          <c:layout/>
          <c:overlay val="0"/>
        </c:title>
        <c:numFmt formatCode="General" sourceLinked="1"/>
        <c:majorTickMark val="out"/>
        <c:minorTickMark val="none"/>
        <c:tickLblPos val="nextTo"/>
        <c:crossAx val="1033674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Sheet1!$B$1</c:f>
              <c:strCache>
                <c:ptCount val="1"/>
                <c:pt idx="0">
                  <c:v>Previously Developed Land </c:v>
                </c:pt>
              </c:strCache>
            </c:strRef>
          </c:tx>
          <c:invertIfNegative val="0"/>
          <c:cat>
            <c:strRef>
              <c:f>Sheet1!$A$2:$A$10</c:f>
              <c:strCache>
                <c:ptCount val="9"/>
                <c:pt idx="1">
                  <c:v>2010/11</c:v>
                </c:pt>
                <c:pt idx="2">
                  <c:v>2011/12</c:v>
                </c:pt>
                <c:pt idx="3">
                  <c:v>2012/13</c:v>
                </c:pt>
                <c:pt idx="4">
                  <c:v>2013/14</c:v>
                </c:pt>
                <c:pt idx="5">
                  <c:v>2014/15</c:v>
                </c:pt>
                <c:pt idx="6">
                  <c:v>2015/16</c:v>
                </c:pt>
                <c:pt idx="7">
                  <c:v>2016/17</c:v>
                </c:pt>
                <c:pt idx="8">
                  <c:v>2017/18</c:v>
                </c:pt>
              </c:strCache>
            </c:strRef>
          </c:cat>
          <c:val>
            <c:numRef>
              <c:f>Sheet1!$B$2:$B$10</c:f>
              <c:numCache>
                <c:formatCode>General</c:formatCode>
                <c:ptCount val="9"/>
                <c:pt idx="1">
                  <c:v>75.400000000000006</c:v>
                </c:pt>
                <c:pt idx="2">
                  <c:v>74.3</c:v>
                </c:pt>
                <c:pt idx="3">
                  <c:v>79.400000000000006</c:v>
                </c:pt>
                <c:pt idx="4">
                  <c:v>62.3</c:v>
                </c:pt>
                <c:pt idx="5">
                  <c:v>87.6</c:v>
                </c:pt>
                <c:pt idx="6">
                  <c:v>69.400000000000006</c:v>
                </c:pt>
                <c:pt idx="7">
                  <c:v>65.5</c:v>
                </c:pt>
                <c:pt idx="8">
                  <c:v>78.8</c:v>
                </c:pt>
              </c:numCache>
            </c:numRef>
          </c:val>
          <c:extLst xmlns:c16r2="http://schemas.microsoft.com/office/drawing/2015/06/chart">
            <c:ext xmlns:c16="http://schemas.microsoft.com/office/drawing/2014/chart" uri="{C3380CC4-5D6E-409C-BE32-E72D297353CC}">
              <c16:uniqueId val="{00000000-E3C3-4CD2-8970-C1A76BCFF83A}"/>
            </c:ext>
          </c:extLst>
        </c:ser>
        <c:ser>
          <c:idx val="1"/>
          <c:order val="1"/>
          <c:tx>
            <c:strRef>
              <c:f>Sheet1!$C$1</c:f>
              <c:strCache>
                <c:ptCount val="1"/>
                <c:pt idx="0">
                  <c:v>Garden Land</c:v>
                </c:pt>
              </c:strCache>
            </c:strRef>
          </c:tx>
          <c:invertIfNegative val="0"/>
          <c:cat>
            <c:strRef>
              <c:f>Sheet1!$A$2:$A$10</c:f>
              <c:strCache>
                <c:ptCount val="9"/>
                <c:pt idx="1">
                  <c:v>2010/11</c:v>
                </c:pt>
                <c:pt idx="2">
                  <c:v>2011/12</c:v>
                </c:pt>
                <c:pt idx="3">
                  <c:v>2012/13</c:v>
                </c:pt>
                <c:pt idx="4">
                  <c:v>2013/14</c:v>
                </c:pt>
                <c:pt idx="5">
                  <c:v>2014/15</c:v>
                </c:pt>
                <c:pt idx="6">
                  <c:v>2015/16</c:v>
                </c:pt>
                <c:pt idx="7">
                  <c:v>2016/17</c:v>
                </c:pt>
                <c:pt idx="8">
                  <c:v>2017/18</c:v>
                </c:pt>
              </c:strCache>
            </c:strRef>
          </c:cat>
          <c:val>
            <c:numRef>
              <c:f>Sheet1!$C$2:$C$10</c:f>
              <c:numCache>
                <c:formatCode>General</c:formatCode>
                <c:ptCount val="9"/>
                <c:pt idx="1">
                  <c:v>24.6</c:v>
                </c:pt>
                <c:pt idx="2">
                  <c:v>25.6</c:v>
                </c:pt>
                <c:pt idx="3">
                  <c:v>20.2</c:v>
                </c:pt>
                <c:pt idx="4">
                  <c:v>37.700000000000003</c:v>
                </c:pt>
                <c:pt idx="5">
                  <c:v>12.1</c:v>
                </c:pt>
                <c:pt idx="6">
                  <c:v>8.1</c:v>
                </c:pt>
                <c:pt idx="7">
                  <c:v>33.5</c:v>
                </c:pt>
                <c:pt idx="8">
                  <c:v>18.2</c:v>
                </c:pt>
              </c:numCache>
            </c:numRef>
          </c:val>
          <c:extLst xmlns:c16r2="http://schemas.microsoft.com/office/drawing/2015/06/chart">
            <c:ext xmlns:c16="http://schemas.microsoft.com/office/drawing/2014/chart" uri="{C3380CC4-5D6E-409C-BE32-E72D297353CC}">
              <c16:uniqueId val="{00000001-E3C3-4CD2-8970-C1A76BCFF83A}"/>
            </c:ext>
          </c:extLst>
        </c:ser>
        <c:ser>
          <c:idx val="2"/>
          <c:order val="2"/>
          <c:tx>
            <c:strRef>
              <c:f>Sheet1!$D$1</c:f>
              <c:strCache>
                <c:ptCount val="1"/>
                <c:pt idx="0">
                  <c:v>Greenfield Land</c:v>
                </c:pt>
              </c:strCache>
            </c:strRef>
          </c:tx>
          <c:invertIfNegative val="0"/>
          <c:cat>
            <c:strRef>
              <c:f>Sheet1!$A$2:$A$10</c:f>
              <c:strCache>
                <c:ptCount val="9"/>
                <c:pt idx="1">
                  <c:v>2010/11</c:v>
                </c:pt>
                <c:pt idx="2">
                  <c:v>2011/12</c:v>
                </c:pt>
                <c:pt idx="3">
                  <c:v>2012/13</c:v>
                </c:pt>
                <c:pt idx="4">
                  <c:v>2013/14</c:v>
                </c:pt>
                <c:pt idx="5">
                  <c:v>2014/15</c:v>
                </c:pt>
                <c:pt idx="6">
                  <c:v>2015/16</c:v>
                </c:pt>
                <c:pt idx="7">
                  <c:v>2016/17</c:v>
                </c:pt>
                <c:pt idx="8">
                  <c:v>2017/18</c:v>
                </c:pt>
              </c:strCache>
            </c:strRef>
          </c:cat>
          <c:val>
            <c:numRef>
              <c:f>Sheet1!$D$2:$D$10</c:f>
              <c:numCache>
                <c:formatCode>General</c:formatCode>
                <c:ptCount val="9"/>
                <c:pt idx="6">
                  <c:v>22.5</c:v>
                </c:pt>
                <c:pt idx="7">
                  <c:v>1</c:v>
                </c:pt>
                <c:pt idx="8">
                  <c:v>3</c:v>
                </c:pt>
              </c:numCache>
            </c:numRef>
          </c:val>
          <c:extLst xmlns:c16r2="http://schemas.microsoft.com/office/drawing/2015/06/chart">
            <c:ext xmlns:c16="http://schemas.microsoft.com/office/drawing/2014/chart" uri="{C3380CC4-5D6E-409C-BE32-E72D297353CC}">
              <c16:uniqueId val="{00000002-E3C3-4CD2-8970-C1A76BCFF83A}"/>
            </c:ext>
          </c:extLst>
        </c:ser>
        <c:dLbls>
          <c:showLegendKey val="0"/>
          <c:showVal val="0"/>
          <c:showCatName val="0"/>
          <c:showSerName val="0"/>
          <c:showPercent val="0"/>
          <c:showBubbleSize val="0"/>
        </c:dLbls>
        <c:gapWidth val="150"/>
        <c:overlap val="100"/>
        <c:axId val="105247872"/>
        <c:axId val="105249408"/>
      </c:barChart>
      <c:catAx>
        <c:axId val="105247872"/>
        <c:scaling>
          <c:orientation val="minMax"/>
        </c:scaling>
        <c:delete val="0"/>
        <c:axPos val="b"/>
        <c:numFmt formatCode="General" sourceLinked="0"/>
        <c:majorTickMark val="out"/>
        <c:minorTickMark val="none"/>
        <c:tickLblPos val="nextTo"/>
        <c:crossAx val="105249408"/>
        <c:crosses val="autoZero"/>
        <c:auto val="1"/>
        <c:lblAlgn val="ctr"/>
        <c:lblOffset val="100"/>
        <c:noMultiLvlLbl val="0"/>
      </c:catAx>
      <c:valAx>
        <c:axId val="105249408"/>
        <c:scaling>
          <c:orientation val="minMax"/>
        </c:scaling>
        <c:delete val="0"/>
        <c:axPos val="l"/>
        <c:majorGridlines/>
        <c:numFmt formatCode="0%" sourceLinked="1"/>
        <c:majorTickMark val="out"/>
        <c:minorTickMark val="none"/>
        <c:tickLblPos val="nextTo"/>
        <c:crossAx val="105247872"/>
        <c:crosses val="autoZero"/>
        <c:crossBetween val="between"/>
      </c:valAx>
    </c:plotArea>
    <c:legend>
      <c:legendPos val="r"/>
      <c:layout>
        <c:manualLayout>
          <c:xMode val="edge"/>
          <c:yMode val="edge"/>
          <c:x val="0.68834426946631666"/>
          <c:y val="0.39249701033836226"/>
          <c:w val="0.2051742490522018"/>
          <c:h val="0.37353887309104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BoDs!$B$3</c:f>
              <c:strCache>
                <c:ptCount val="1"/>
                <c:pt idx="0">
                  <c:v>1 bed</c:v>
                </c:pt>
              </c:strCache>
            </c:strRef>
          </c:tx>
          <c:invertIfNegative val="0"/>
          <c:cat>
            <c:strRef>
              <c:f>BoDs!$A$4:$A$15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BoDs!$B$4:$B$15</c:f>
              <c:numCache>
                <c:formatCode>General</c:formatCode>
                <c:ptCount val="12"/>
                <c:pt idx="0">
                  <c:v>28.1</c:v>
                </c:pt>
                <c:pt idx="1">
                  <c:v>31.6</c:v>
                </c:pt>
                <c:pt idx="2">
                  <c:v>27.1</c:v>
                </c:pt>
                <c:pt idx="3">
                  <c:v>24.9</c:v>
                </c:pt>
                <c:pt idx="4">
                  <c:v>39</c:v>
                </c:pt>
                <c:pt idx="5">
                  <c:v>53</c:v>
                </c:pt>
                <c:pt idx="6">
                  <c:v>55</c:v>
                </c:pt>
                <c:pt idx="7">
                  <c:v>61</c:v>
                </c:pt>
                <c:pt idx="8">
                  <c:v>59</c:v>
                </c:pt>
                <c:pt idx="9">
                  <c:v>74</c:v>
                </c:pt>
                <c:pt idx="10">
                  <c:v>198</c:v>
                </c:pt>
                <c:pt idx="11">
                  <c:v>202</c:v>
                </c:pt>
              </c:numCache>
            </c:numRef>
          </c:val>
          <c:extLst xmlns:c16r2="http://schemas.microsoft.com/office/drawing/2015/06/chart">
            <c:ext xmlns:c16="http://schemas.microsoft.com/office/drawing/2014/chart" uri="{C3380CC4-5D6E-409C-BE32-E72D297353CC}">
              <c16:uniqueId val="{00000000-5115-4153-99FC-BB9516FCE3F7}"/>
            </c:ext>
          </c:extLst>
        </c:ser>
        <c:ser>
          <c:idx val="1"/>
          <c:order val="1"/>
          <c:tx>
            <c:strRef>
              <c:f>BoDs!$C$3</c:f>
              <c:strCache>
                <c:ptCount val="1"/>
                <c:pt idx="0">
                  <c:v>2 bed</c:v>
                </c:pt>
              </c:strCache>
            </c:strRef>
          </c:tx>
          <c:invertIfNegative val="0"/>
          <c:cat>
            <c:strRef>
              <c:f>BoDs!$A$4:$A$15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BoDs!$C$4:$C$15</c:f>
              <c:numCache>
                <c:formatCode>General</c:formatCode>
                <c:ptCount val="12"/>
                <c:pt idx="0">
                  <c:v>47.8</c:v>
                </c:pt>
                <c:pt idx="1">
                  <c:v>42.7</c:v>
                </c:pt>
                <c:pt idx="2">
                  <c:v>50.8</c:v>
                </c:pt>
                <c:pt idx="3">
                  <c:v>44</c:v>
                </c:pt>
                <c:pt idx="4">
                  <c:v>26</c:v>
                </c:pt>
                <c:pt idx="5">
                  <c:v>26</c:v>
                </c:pt>
                <c:pt idx="6">
                  <c:v>37</c:v>
                </c:pt>
                <c:pt idx="7">
                  <c:v>17</c:v>
                </c:pt>
                <c:pt idx="8">
                  <c:v>22</c:v>
                </c:pt>
                <c:pt idx="9">
                  <c:v>98</c:v>
                </c:pt>
                <c:pt idx="10">
                  <c:v>112</c:v>
                </c:pt>
                <c:pt idx="11">
                  <c:v>126</c:v>
                </c:pt>
              </c:numCache>
            </c:numRef>
          </c:val>
          <c:extLst xmlns:c16r2="http://schemas.microsoft.com/office/drawing/2015/06/chart">
            <c:ext xmlns:c16="http://schemas.microsoft.com/office/drawing/2014/chart" uri="{C3380CC4-5D6E-409C-BE32-E72D297353CC}">
              <c16:uniqueId val="{00000001-5115-4153-99FC-BB9516FCE3F7}"/>
            </c:ext>
          </c:extLst>
        </c:ser>
        <c:ser>
          <c:idx val="2"/>
          <c:order val="2"/>
          <c:tx>
            <c:strRef>
              <c:f>BoDs!$D$3</c:f>
              <c:strCache>
                <c:ptCount val="1"/>
                <c:pt idx="0">
                  <c:v>3 bed</c:v>
                </c:pt>
              </c:strCache>
            </c:strRef>
          </c:tx>
          <c:invertIfNegative val="0"/>
          <c:cat>
            <c:strRef>
              <c:f>BoDs!$A$4:$A$15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BoDs!$D$4:$D$15</c:f>
              <c:numCache>
                <c:formatCode>General</c:formatCode>
                <c:ptCount val="12"/>
                <c:pt idx="0">
                  <c:v>16.3</c:v>
                </c:pt>
                <c:pt idx="1">
                  <c:v>14.4</c:v>
                </c:pt>
                <c:pt idx="2">
                  <c:v>9.8000000000000007</c:v>
                </c:pt>
                <c:pt idx="3">
                  <c:v>19.8</c:v>
                </c:pt>
                <c:pt idx="4">
                  <c:v>28</c:v>
                </c:pt>
                <c:pt idx="5">
                  <c:v>19</c:v>
                </c:pt>
                <c:pt idx="6">
                  <c:v>6</c:v>
                </c:pt>
                <c:pt idx="7">
                  <c:v>11</c:v>
                </c:pt>
                <c:pt idx="8">
                  <c:v>14</c:v>
                </c:pt>
                <c:pt idx="9">
                  <c:v>60</c:v>
                </c:pt>
                <c:pt idx="10">
                  <c:v>100</c:v>
                </c:pt>
                <c:pt idx="11">
                  <c:v>16</c:v>
                </c:pt>
              </c:numCache>
            </c:numRef>
          </c:val>
          <c:extLst xmlns:c16r2="http://schemas.microsoft.com/office/drawing/2015/06/chart">
            <c:ext xmlns:c16="http://schemas.microsoft.com/office/drawing/2014/chart" uri="{C3380CC4-5D6E-409C-BE32-E72D297353CC}">
              <c16:uniqueId val="{00000002-5115-4153-99FC-BB9516FCE3F7}"/>
            </c:ext>
          </c:extLst>
        </c:ser>
        <c:ser>
          <c:idx val="3"/>
          <c:order val="3"/>
          <c:tx>
            <c:strRef>
              <c:f>BoDs!$E$3</c:f>
              <c:strCache>
                <c:ptCount val="1"/>
                <c:pt idx="0">
                  <c:v>4+ bed</c:v>
                </c:pt>
              </c:strCache>
            </c:strRef>
          </c:tx>
          <c:invertIfNegative val="0"/>
          <c:cat>
            <c:strRef>
              <c:f>BoDs!$A$4:$A$15</c:f>
              <c:strCache>
                <c:ptCount val="12"/>
                <c:pt idx="0">
                  <c:v>06/07</c:v>
                </c:pt>
                <c:pt idx="1">
                  <c:v>07/08</c:v>
                </c:pt>
                <c:pt idx="2">
                  <c:v>08/09</c:v>
                </c:pt>
                <c:pt idx="3">
                  <c:v>09/10</c:v>
                </c:pt>
                <c:pt idx="4">
                  <c:v>10/11</c:v>
                </c:pt>
                <c:pt idx="5">
                  <c:v>11/12</c:v>
                </c:pt>
                <c:pt idx="6">
                  <c:v>12/13</c:v>
                </c:pt>
                <c:pt idx="7">
                  <c:v>13/14</c:v>
                </c:pt>
                <c:pt idx="8">
                  <c:v>14/15</c:v>
                </c:pt>
                <c:pt idx="9">
                  <c:v>15/16</c:v>
                </c:pt>
                <c:pt idx="10">
                  <c:v>16/17</c:v>
                </c:pt>
                <c:pt idx="11">
                  <c:v>17/18</c:v>
                </c:pt>
              </c:strCache>
            </c:strRef>
          </c:cat>
          <c:val>
            <c:numRef>
              <c:f>BoDs!$E$4:$E$15</c:f>
              <c:numCache>
                <c:formatCode>General</c:formatCode>
                <c:ptCount val="12"/>
                <c:pt idx="0">
                  <c:v>7.8</c:v>
                </c:pt>
                <c:pt idx="1">
                  <c:v>11.3</c:v>
                </c:pt>
                <c:pt idx="2">
                  <c:v>12.3</c:v>
                </c:pt>
                <c:pt idx="3">
                  <c:v>11.3</c:v>
                </c:pt>
                <c:pt idx="4">
                  <c:v>7</c:v>
                </c:pt>
                <c:pt idx="5">
                  <c:v>2</c:v>
                </c:pt>
                <c:pt idx="6">
                  <c:v>2</c:v>
                </c:pt>
                <c:pt idx="7">
                  <c:v>11</c:v>
                </c:pt>
                <c:pt idx="8">
                  <c:v>5</c:v>
                </c:pt>
                <c:pt idx="9">
                  <c:v>26</c:v>
                </c:pt>
                <c:pt idx="10">
                  <c:v>66</c:v>
                </c:pt>
                <c:pt idx="11">
                  <c:v>14</c:v>
                </c:pt>
              </c:numCache>
            </c:numRef>
          </c:val>
          <c:extLst xmlns:c16r2="http://schemas.microsoft.com/office/drawing/2015/06/chart">
            <c:ext xmlns:c16="http://schemas.microsoft.com/office/drawing/2014/chart" uri="{C3380CC4-5D6E-409C-BE32-E72D297353CC}">
              <c16:uniqueId val="{00000003-5115-4153-99FC-BB9516FCE3F7}"/>
            </c:ext>
          </c:extLst>
        </c:ser>
        <c:dLbls>
          <c:showLegendKey val="0"/>
          <c:showVal val="0"/>
          <c:showCatName val="0"/>
          <c:showSerName val="0"/>
          <c:showPercent val="0"/>
          <c:showBubbleSize val="0"/>
        </c:dLbls>
        <c:gapWidth val="150"/>
        <c:overlap val="100"/>
        <c:axId val="88878080"/>
        <c:axId val="88883968"/>
      </c:barChart>
      <c:catAx>
        <c:axId val="88878080"/>
        <c:scaling>
          <c:orientation val="minMax"/>
        </c:scaling>
        <c:delete val="0"/>
        <c:axPos val="b"/>
        <c:numFmt formatCode="General" sourceLinked="0"/>
        <c:majorTickMark val="out"/>
        <c:minorTickMark val="none"/>
        <c:tickLblPos val="nextTo"/>
        <c:crossAx val="88883968"/>
        <c:crosses val="autoZero"/>
        <c:auto val="1"/>
        <c:lblAlgn val="ctr"/>
        <c:lblOffset val="100"/>
        <c:noMultiLvlLbl val="0"/>
      </c:catAx>
      <c:valAx>
        <c:axId val="88883968"/>
        <c:scaling>
          <c:orientation val="minMax"/>
        </c:scaling>
        <c:delete val="0"/>
        <c:axPos val="l"/>
        <c:majorGridlines/>
        <c:numFmt formatCode="0%" sourceLinked="1"/>
        <c:majorTickMark val="out"/>
        <c:minorTickMark val="none"/>
        <c:tickLblPos val="nextTo"/>
        <c:crossAx val="888780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'Oxford University'!$C$4</c:f>
              <c:strCache>
                <c:ptCount val="1"/>
                <c:pt idx="0">
                  <c:v>Number of students outside univeristy provided accomodation</c:v>
                </c:pt>
              </c:strCache>
            </c:strRef>
          </c:tx>
          <c:invertIfNegative val="0"/>
          <c:cat>
            <c:strRef>
              <c:f>'Oxford University'!$B$5:$B$12</c:f>
              <c:strCache>
                <c:ptCount val="8"/>
                <c:pt idx="0">
                  <c:v>2010/11</c:v>
                </c:pt>
                <c:pt idx="1">
                  <c:v>2011/12</c:v>
                </c:pt>
                <c:pt idx="2">
                  <c:v>2012/13</c:v>
                </c:pt>
                <c:pt idx="3">
                  <c:v>2013/14</c:v>
                </c:pt>
                <c:pt idx="4">
                  <c:v>2014/15</c:v>
                </c:pt>
                <c:pt idx="5">
                  <c:v>2015/16</c:v>
                </c:pt>
                <c:pt idx="6">
                  <c:v>2016/17</c:v>
                </c:pt>
                <c:pt idx="7">
                  <c:v>2017/18</c:v>
                </c:pt>
              </c:strCache>
            </c:strRef>
          </c:cat>
          <c:val>
            <c:numRef>
              <c:f>'Oxford University'!$C$5:$C$12</c:f>
              <c:numCache>
                <c:formatCode>General</c:formatCode>
                <c:ptCount val="8"/>
                <c:pt idx="0">
                  <c:v>3251</c:v>
                </c:pt>
                <c:pt idx="1">
                  <c:v>3401</c:v>
                </c:pt>
                <c:pt idx="2">
                  <c:v>3508</c:v>
                </c:pt>
                <c:pt idx="3">
                  <c:v>3020</c:v>
                </c:pt>
                <c:pt idx="4">
                  <c:v>2910</c:v>
                </c:pt>
                <c:pt idx="5">
                  <c:v>2932</c:v>
                </c:pt>
                <c:pt idx="6">
                  <c:v>2777</c:v>
                </c:pt>
                <c:pt idx="7">
                  <c:v>3174</c:v>
                </c:pt>
              </c:numCache>
            </c:numRef>
          </c:val>
          <c:extLst xmlns:c16r2="http://schemas.microsoft.com/office/drawing/2015/06/chart">
            <c:ext xmlns:c16="http://schemas.microsoft.com/office/drawing/2014/chart" uri="{C3380CC4-5D6E-409C-BE32-E72D297353CC}">
              <c16:uniqueId val="{00000000-10FB-4E00-AA46-2601A17F0784}"/>
            </c:ext>
          </c:extLst>
        </c:ser>
        <c:dLbls>
          <c:showLegendKey val="0"/>
          <c:showVal val="0"/>
          <c:showCatName val="0"/>
          <c:showSerName val="0"/>
          <c:showPercent val="0"/>
          <c:showBubbleSize val="0"/>
        </c:dLbls>
        <c:gapWidth val="150"/>
        <c:axId val="88926848"/>
        <c:axId val="103285504"/>
      </c:barChart>
      <c:lineChart>
        <c:grouping val="stacked"/>
        <c:varyColors val="0"/>
        <c:ser>
          <c:idx val="1"/>
          <c:order val="1"/>
          <c:tx>
            <c:strRef>
              <c:f>'Oxford University'!$D$4</c:f>
              <c:strCache>
                <c:ptCount val="1"/>
                <c:pt idx="0">
                  <c:v>Target</c:v>
                </c:pt>
              </c:strCache>
            </c:strRef>
          </c:tx>
          <c:spPr>
            <a:ln>
              <a:solidFill>
                <a:srgbClr val="C00000"/>
              </a:solidFill>
            </a:ln>
          </c:spPr>
          <c:marker>
            <c:symbol val="none"/>
          </c:marker>
          <c:cat>
            <c:strRef>
              <c:f>'Oxford University'!$B$5:$B$12</c:f>
              <c:strCache>
                <c:ptCount val="8"/>
                <c:pt idx="0">
                  <c:v>2010/11</c:v>
                </c:pt>
                <c:pt idx="1">
                  <c:v>2011/12</c:v>
                </c:pt>
                <c:pt idx="2">
                  <c:v>2012/13</c:v>
                </c:pt>
                <c:pt idx="3">
                  <c:v>2013/14</c:v>
                </c:pt>
                <c:pt idx="4">
                  <c:v>2014/15</c:v>
                </c:pt>
                <c:pt idx="5">
                  <c:v>2015/16</c:v>
                </c:pt>
                <c:pt idx="6">
                  <c:v>2016/17</c:v>
                </c:pt>
                <c:pt idx="7">
                  <c:v>2017/18</c:v>
                </c:pt>
              </c:strCache>
            </c:strRef>
          </c:cat>
          <c:val>
            <c:numRef>
              <c:f>'Oxford University'!$D$5:$D$12</c:f>
              <c:numCache>
                <c:formatCode>General</c:formatCode>
                <c:ptCount val="8"/>
                <c:pt idx="0">
                  <c:v>3000</c:v>
                </c:pt>
                <c:pt idx="1">
                  <c:v>3000</c:v>
                </c:pt>
                <c:pt idx="2">
                  <c:v>3000</c:v>
                </c:pt>
                <c:pt idx="3">
                  <c:v>3000</c:v>
                </c:pt>
                <c:pt idx="4">
                  <c:v>3000</c:v>
                </c:pt>
                <c:pt idx="5">
                  <c:v>3000</c:v>
                </c:pt>
                <c:pt idx="6">
                  <c:v>3000</c:v>
                </c:pt>
                <c:pt idx="7">
                  <c:v>3000</c:v>
                </c:pt>
              </c:numCache>
            </c:numRef>
          </c:val>
          <c:smooth val="0"/>
          <c:extLst xmlns:c16r2="http://schemas.microsoft.com/office/drawing/2015/06/chart">
            <c:ext xmlns:c16="http://schemas.microsoft.com/office/drawing/2014/chart" uri="{C3380CC4-5D6E-409C-BE32-E72D297353CC}">
              <c16:uniqueId val="{00000001-10FB-4E00-AA46-2601A17F0784}"/>
            </c:ext>
          </c:extLst>
        </c:ser>
        <c:dLbls>
          <c:showLegendKey val="0"/>
          <c:showVal val="0"/>
          <c:showCatName val="0"/>
          <c:showSerName val="0"/>
          <c:showPercent val="0"/>
          <c:showBubbleSize val="0"/>
        </c:dLbls>
        <c:marker val="1"/>
        <c:smooth val="0"/>
        <c:axId val="88926848"/>
        <c:axId val="103285504"/>
      </c:lineChart>
      <c:catAx>
        <c:axId val="88926848"/>
        <c:scaling>
          <c:orientation val="minMax"/>
        </c:scaling>
        <c:delete val="0"/>
        <c:axPos val="b"/>
        <c:title>
          <c:tx>
            <c:rich>
              <a:bodyPr/>
              <a:lstStyle/>
              <a:p>
                <a:pPr>
                  <a:defRPr/>
                </a:pPr>
                <a:r>
                  <a:rPr lang="en-GB"/>
                  <a:t>AMR Monitoring Year </a:t>
                </a:r>
              </a:p>
            </c:rich>
          </c:tx>
          <c:layout>
            <c:manualLayout>
              <c:xMode val="edge"/>
              <c:yMode val="edge"/>
              <c:x val="0.44283112476794068"/>
              <c:y val="0.91921657312418192"/>
            </c:manualLayout>
          </c:layout>
          <c:overlay val="0"/>
        </c:title>
        <c:numFmt formatCode="General" sourceLinked="0"/>
        <c:majorTickMark val="out"/>
        <c:minorTickMark val="none"/>
        <c:tickLblPos val="nextTo"/>
        <c:crossAx val="103285504"/>
        <c:crosses val="autoZero"/>
        <c:auto val="1"/>
        <c:lblAlgn val="ctr"/>
        <c:lblOffset val="100"/>
        <c:noMultiLvlLbl val="0"/>
      </c:catAx>
      <c:valAx>
        <c:axId val="103285504"/>
        <c:scaling>
          <c:orientation val="minMax"/>
        </c:scaling>
        <c:delete val="0"/>
        <c:axPos val="l"/>
        <c:majorGridlines/>
        <c:title>
          <c:tx>
            <c:rich>
              <a:bodyPr rot="-5400000" vert="horz"/>
              <a:lstStyle/>
              <a:p>
                <a:pPr>
                  <a:defRPr/>
                </a:pPr>
                <a:r>
                  <a:rPr lang="en-GB"/>
                  <a:t>Number of students outside univeristy provided accomodation</a:t>
                </a:r>
              </a:p>
            </c:rich>
          </c:tx>
          <c:layout>
            <c:manualLayout>
              <c:xMode val="edge"/>
              <c:yMode val="edge"/>
              <c:x val="1.2195121951219513E-2"/>
              <c:y val="0.11825222891524984"/>
            </c:manualLayout>
          </c:layout>
          <c:overlay val="0"/>
        </c:title>
        <c:numFmt formatCode="General" sourceLinked="1"/>
        <c:majorTickMark val="out"/>
        <c:minorTickMark val="none"/>
        <c:tickLblPos val="nextTo"/>
        <c:crossAx val="889268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'Oxford Brookes University'!$C$3</c:f>
              <c:strCache>
                <c:ptCount val="1"/>
                <c:pt idx="0">
                  <c:v>Number of students outside univeristy provided accomodation</c:v>
                </c:pt>
              </c:strCache>
            </c:strRef>
          </c:tx>
          <c:invertIfNegative val="0"/>
          <c:dLbls>
            <c:dLbl>
              <c:idx val="0"/>
              <c:layout>
                <c:manualLayout>
                  <c:x val="0"/>
                  <c:y val="1.151079310572980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92-45A4-93A7-F1B1B14306C7}"/>
                </c:ext>
              </c:extLst>
            </c:dLbl>
            <c:dLbl>
              <c:idx val="1"/>
              <c:layout>
                <c:manualLayout>
                  <c:x val="0"/>
                  <c:y val="-7.67386207048653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92-45A4-93A7-F1B1B14306C7}"/>
                </c:ext>
              </c:extLst>
            </c:dLbl>
            <c:dLbl>
              <c:idx val="2"/>
              <c:layout>
                <c:manualLayout>
                  <c:x val="0"/>
                  <c:y val="-1.91846551762163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92-45A4-93A7-F1B1B14306C7}"/>
                </c:ext>
              </c:extLst>
            </c:dLbl>
            <c:dLbl>
              <c:idx val="5"/>
              <c:layout>
                <c:manualLayout>
                  <c:x val="0"/>
                  <c:y val="1.045751777503546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92-45A4-93A7-F1B1B14306C7}"/>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'Oxford Brookes University'!$B$4:$B$11</c:f>
              <c:strCache>
                <c:ptCount val="8"/>
                <c:pt idx="0">
                  <c:v>2010/11</c:v>
                </c:pt>
                <c:pt idx="1">
                  <c:v>2011/12</c:v>
                </c:pt>
                <c:pt idx="2">
                  <c:v>2012/13</c:v>
                </c:pt>
                <c:pt idx="3">
                  <c:v>2013/14</c:v>
                </c:pt>
                <c:pt idx="4">
                  <c:v>2014/15</c:v>
                </c:pt>
                <c:pt idx="5">
                  <c:v>2015/16</c:v>
                </c:pt>
                <c:pt idx="6">
                  <c:v>2016/17</c:v>
                </c:pt>
                <c:pt idx="7">
                  <c:v>2017/18</c:v>
                </c:pt>
              </c:strCache>
            </c:strRef>
          </c:cat>
          <c:val>
            <c:numRef>
              <c:f>'Oxford Brookes University'!$C$4:$C$11</c:f>
              <c:numCache>
                <c:formatCode>General</c:formatCode>
                <c:ptCount val="8"/>
                <c:pt idx="0">
                  <c:v>3611</c:v>
                </c:pt>
                <c:pt idx="1">
                  <c:v>3381</c:v>
                </c:pt>
                <c:pt idx="2">
                  <c:v>2836</c:v>
                </c:pt>
                <c:pt idx="3">
                  <c:v>3072</c:v>
                </c:pt>
                <c:pt idx="4">
                  <c:v>3451</c:v>
                </c:pt>
                <c:pt idx="5">
                  <c:v>3747</c:v>
                </c:pt>
                <c:pt idx="6">
                  <c:v>4180</c:v>
                </c:pt>
                <c:pt idx="7">
                  <c:v>4089</c:v>
                </c:pt>
              </c:numCache>
            </c:numRef>
          </c:val>
          <c:extLst xmlns:c16r2="http://schemas.microsoft.com/office/drawing/2015/06/chart">
            <c:ext xmlns:c16="http://schemas.microsoft.com/office/drawing/2014/chart" uri="{C3380CC4-5D6E-409C-BE32-E72D297353CC}">
              <c16:uniqueId val="{00000004-7A92-45A4-93A7-F1B1B14306C7}"/>
            </c:ext>
          </c:extLst>
        </c:ser>
        <c:dLbls>
          <c:dLblPos val="outEnd"/>
          <c:showLegendKey val="0"/>
          <c:showVal val="1"/>
          <c:showCatName val="0"/>
          <c:showSerName val="0"/>
          <c:showPercent val="0"/>
          <c:showBubbleSize val="0"/>
        </c:dLbls>
        <c:gapWidth val="150"/>
        <c:axId val="103318272"/>
        <c:axId val="103320192"/>
      </c:barChart>
      <c:lineChart>
        <c:grouping val="stacked"/>
        <c:varyColors val="0"/>
        <c:ser>
          <c:idx val="1"/>
          <c:order val="1"/>
          <c:tx>
            <c:strRef>
              <c:f>'Oxford Brookes University'!$D$3</c:f>
              <c:strCache>
                <c:ptCount val="1"/>
                <c:pt idx="0">
                  <c:v>target</c:v>
                </c:pt>
              </c:strCache>
            </c:strRef>
          </c:tx>
          <c:marker>
            <c:symbol val="none"/>
          </c:marker>
          <c:cat>
            <c:strRef>
              <c:f>'Oxford Brookes University'!$B$4:$B$11</c:f>
              <c:strCache>
                <c:ptCount val="8"/>
                <c:pt idx="0">
                  <c:v>2010/11</c:v>
                </c:pt>
                <c:pt idx="1">
                  <c:v>2011/12</c:v>
                </c:pt>
                <c:pt idx="2">
                  <c:v>2012/13</c:v>
                </c:pt>
                <c:pt idx="3">
                  <c:v>2013/14</c:v>
                </c:pt>
                <c:pt idx="4">
                  <c:v>2014/15</c:v>
                </c:pt>
                <c:pt idx="5">
                  <c:v>2015/16</c:v>
                </c:pt>
                <c:pt idx="6">
                  <c:v>2016/17</c:v>
                </c:pt>
                <c:pt idx="7">
                  <c:v>2017/18</c:v>
                </c:pt>
              </c:strCache>
            </c:strRef>
          </c:cat>
          <c:val>
            <c:numRef>
              <c:f>'Oxford Brookes University'!$D$4:$D$11</c:f>
              <c:numCache>
                <c:formatCode>General</c:formatCode>
                <c:ptCount val="8"/>
                <c:pt idx="0">
                  <c:v>3000</c:v>
                </c:pt>
                <c:pt idx="1">
                  <c:v>3000</c:v>
                </c:pt>
                <c:pt idx="2">
                  <c:v>3000</c:v>
                </c:pt>
                <c:pt idx="3">
                  <c:v>3000</c:v>
                </c:pt>
                <c:pt idx="4">
                  <c:v>3000</c:v>
                </c:pt>
                <c:pt idx="5">
                  <c:v>3000</c:v>
                </c:pt>
                <c:pt idx="6">
                  <c:v>3000</c:v>
                </c:pt>
                <c:pt idx="7">
                  <c:v>3000</c:v>
                </c:pt>
              </c:numCache>
            </c:numRef>
          </c:val>
          <c:smooth val="0"/>
          <c:extLst xmlns:c16r2="http://schemas.microsoft.com/office/drawing/2015/06/chart">
            <c:ext xmlns:c16="http://schemas.microsoft.com/office/drawing/2014/chart" uri="{C3380CC4-5D6E-409C-BE32-E72D297353CC}">
              <c16:uniqueId val="{00000005-7A92-45A4-93A7-F1B1B14306C7}"/>
            </c:ext>
          </c:extLst>
        </c:ser>
        <c:dLbls>
          <c:showLegendKey val="0"/>
          <c:showVal val="0"/>
          <c:showCatName val="0"/>
          <c:showSerName val="0"/>
          <c:showPercent val="0"/>
          <c:showBubbleSize val="0"/>
        </c:dLbls>
        <c:marker val="1"/>
        <c:smooth val="0"/>
        <c:axId val="103318272"/>
        <c:axId val="103320192"/>
      </c:lineChart>
      <c:catAx>
        <c:axId val="103318272"/>
        <c:scaling>
          <c:orientation val="minMax"/>
        </c:scaling>
        <c:delete val="0"/>
        <c:axPos val="b"/>
        <c:title>
          <c:tx>
            <c:rich>
              <a:bodyPr/>
              <a:lstStyle/>
              <a:p>
                <a:pPr>
                  <a:defRPr/>
                </a:pPr>
                <a:r>
                  <a:rPr lang="en-GB"/>
                  <a:t>AMR</a:t>
                </a:r>
                <a:r>
                  <a:rPr lang="en-GB" baseline="0"/>
                  <a:t> monitoring year</a:t>
                </a:r>
                <a:endParaRPr lang="en-GB"/>
              </a:p>
            </c:rich>
          </c:tx>
          <c:layout/>
          <c:overlay val="0"/>
        </c:title>
        <c:numFmt formatCode="General" sourceLinked="0"/>
        <c:majorTickMark val="out"/>
        <c:minorTickMark val="none"/>
        <c:tickLblPos val="nextTo"/>
        <c:crossAx val="103320192"/>
        <c:crosses val="autoZero"/>
        <c:auto val="1"/>
        <c:lblAlgn val="ctr"/>
        <c:lblOffset val="100"/>
        <c:noMultiLvlLbl val="0"/>
      </c:catAx>
      <c:valAx>
        <c:axId val="103320192"/>
        <c:scaling>
          <c:orientation val="minMax"/>
        </c:scaling>
        <c:delete val="0"/>
        <c:axPos val="l"/>
        <c:majorGridlines/>
        <c:title>
          <c:tx>
            <c:rich>
              <a:bodyPr rot="-5400000" vert="horz"/>
              <a:lstStyle/>
              <a:p>
                <a:pPr>
                  <a:defRPr/>
                </a:pPr>
                <a:r>
                  <a:rPr lang="en-GB"/>
                  <a:t>Number of students living outside univeristy </a:t>
                </a:r>
              </a:p>
              <a:p>
                <a:pPr>
                  <a:defRPr/>
                </a:pPr>
                <a:r>
                  <a:rPr lang="en-GB"/>
                  <a:t>provided accomodation</a:t>
                </a:r>
              </a:p>
            </c:rich>
          </c:tx>
          <c:layout>
            <c:manualLayout>
              <c:xMode val="edge"/>
              <c:yMode val="edge"/>
              <c:x val="1.5594539516731974E-2"/>
              <c:y val="0.15504222587922367"/>
            </c:manualLayout>
          </c:layout>
          <c:overlay val="0"/>
        </c:title>
        <c:numFmt formatCode="General" sourceLinked="1"/>
        <c:majorTickMark val="out"/>
        <c:minorTickMark val="none"/>
        <c:tickLblPos val="nextTo"/>
        <c:crossAx val="1033182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DA868-5EF3-438A-B514-BB15DFFDA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87</Pages>
  <Words>29129</Words>
  <Characters>166038</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194778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pshah</dc:creator>
  <cp:lastModifiedBy>pshah</cp:lastModifiedBy>
  <cp:revision>23</cp:revision>
  <cp:lastPrinted>2018-10-16T07:16:00Z</cp:lastPrinted>
  <dcterms:created xsi:type="dcterms:W3CDTF">2018-10-22T12:38:00Z</dcterms:created>
  <dcterms:modified xsi:type="dcterms:W3CDTF">2018-11-14T15:36:00Z</dcterms:modified>
</cp:coreProperties>
</file>